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3A" w:rsidRPr="00413A5E" w:rsidRDefault="00B86F77" w:rsidP="0094353A">
      <w:pPr>
        <w:jc w:val="center"/>
        <w:rPr>
          <w:b/>
          <w:sz w:val="22"/>
          <w:szCs w:val="22"/>
        </w:rPr>
      </w:pPr>
      <w:r>
        <w:rPr>
          <w:b/>
          <w:sz w:val="22"/>
          <w:szCs w:val="22"/>
        </w:rPr>
        <w:t>2021</w:t>
      </w:r>
      <w:r w:rsidR="00F156F2" w:rsidRPr="00413A5E">
        <w:rPr>
          <w:b/>
          <w:sz w:val="22"/>
          <w:szCs w:val="22"/>
        </w:rPr>
        <w:t xml:space="preserve"> Equal </w:t>
      </w:r>
      <w:r w:rsidR="0094353A" w:rsidRPr="00413A5E">
        <w:rPr>
          <w:b/>
          <w:sz w:val="22"/>
          <w:szCs w:val="22"/>
        </w:rPr>
        <w:t xml:space="preserve">Pay Gap </w:t>
      </w:r>
      <w:r w:rsidR="00FF77C2">
        <w:rPr>
          <w:b/>
          <w:sz w:val="22"/>
          <w:szCs w:val="22"/>
        </w:rPr>
        <w:t>Analysis</w:t>
      </w:r>
    </w:p>
    <w:p w:rsidR="0094353A" w:rsidRPr="00413A5E" w:rsidRDefault="0094353A" w:rsidP="0094353A">
      <w:pPr>
        <w:rPr>
          <w:b/>
          <w:sz w:val="22"/>
          <w:szCs w:val="22"/>
        </w:rPr>
      </w:pPr>
    </w:p>
    <w:p w:rsidR="0094353A" w:rsidRPr="00413A5E" w:rsidRDefault="0094353A" w:rsidP="0094353A">
      <w:pPr>
        <w:rPr>
          <w:b/>
          <w:sz w:val="22"/>
          <w:szCs w:val="22"/>
        </w:rPr>
      </w:pPr>
    </w:p>
    <w:p w:rsidR="0094353A" w:rsidRPr="00413A5E" w:rsidRDefault="0094353A" w:rsidP="0094353A">
      <w:pPr>
        <w:jc w:val="both"/>
        <w:rPr>
          <w:sz w:val="22"/>
          <w:szCs w:val="22"/>
        </w:rPr>
      </w:pPr>
      <w:r w:rsidRPr="00413A5E">
        <w:rPr>
          <w:sz w:val="22"/>
          <w:szCs w:val="22"/>
        </w:rPr>
        <w:t xml:space="preserve">NHS Fife is committed to mainstreaming equality within the workplace.  One of the ways of ensuring this is to carry out an Equal Pay Audit, the results of which are used to identify and analyse potential anomalies in remuneration.  </w:t>
      </w:r>
    </w:p>
    <w:p w:rsidR="0094353A" w:rsidRPr="00413A5E" w:rsidRDefault="0094353A" w:rsidP="0094353A">
      <w:pPr>
        <w:jc w:val="both"/>
        <w:rPr>
          <w:sz w:val="22"/>
          <w:szCs w:val="22"/>
        </w:rPr>
      </w:pPr>
    </w:p>
    <w:p w:rsidR="0094353A" w:rsidRPr="00413A5E" w:rsidRDefault="0094353A" w:rsidP="0094353A">
      <w:pPr>
        <w:jc w:val="both"/>
        <w:rPr>
          <w:sz w:val="22"/>
          <w:szCs w:val="22"/>
        </w:rPr>
      </w:pPr>
      <w:r w:rsidRPr="00413A5E">
        <w:rPr>
          <w:sz w:val="22"/>
          <w:szCs w:val="22"/>
        </w:rPr>
        <w:t>This paper summarise</w:t>
      </w:r>
      <w:r w:rsidR="00103A35">
        <w:rPr>
          <w:sz w:val="22"/>
          <w:szCs w:val="22"/>
        </w:rPr>
        <w:t>s</w:t>
      </w:r>
      <w:r w:rsidRPr="00413A5E">
        <w:rPr>
          <w:sz w:val="22"/>
          <w:szCs w:val="22"/>
        </w:rPr>
        <w:t xml:space="preserve"> the findings of the equal pay audit carried out </w:t>
      </w:r>
      <w:r w:rsidR="006A1820" w:rsidRPr="00413A5E">
        <w:rPr>
          <w:sz w:val="22"/>
          <w:szCs w:val="22"/>
        </w:rPr>
        <w:t>in 20</w:t>
      </w:r>
      <w:r w:rsidR="00B86F77">
        <w:rPr>
          <w:sz w:val="22"/>
          <w:szCs w:val="22"/>
        </w:rPr>
        <w:t>21</w:t>
      </w:r>
      <w:r w:rsidRPr="00413A5E">
        <w:rPr>
          <w:sz w:val="22"/>
          <w:szCs w:val="22"/>
        </w:rPr>
        <w:t>.  It meets the requirements detailed within the Equality Act 2010, and our obligations under the Equality Act (Specific Duties) (Scotland) Regulati</w:t>
      </w:r>
      <w:r w:rsidR="00193004" w:rsidRPr="00413A5E">
        <w:rPr>
          <w:sz w:val="22"/>
          <w:szCs w:val="22"/>
        </w:rPr>
        <w:t>ons</w:t>
      </w:r>
      <w:r w:rsidRPr="00413A5E">
        <w:rPr>
          <w:sz w:val="22"/>
          <w:szCs w:val="22"/>
        </w:rPr>
        <w:t>.</w:t>
      </w:r>
    </w:p>
    <w:p w:rsidR="0094353A" w:rsidRDefault="0094353A" w:rsidP="0094353A">
      <w:pPr>
        <w:jc w:val="both"/>
        <w:rPr>
          <w:sz w:val="22"/>
          <w:szCs w:val="22"/>
          <w:u w:val="single"/>
        </w:rPr>
      </w:pPr>
    </w:p>
    <w:p w:rsidR="004B051F" w:rsidRPr="00413A5E" w:rsidRDefault="004B051F" w:rsidP="0094353A">
      <w:pPr>
        <w:jc w:val="both"/>
        <w:rPr>
          <w:sz w:val="22"/>
          <w:szCs w:val="22"/>
          <w:u w:val="single"/>
        </w:rPr>
      </w:pPr>
    </w:p>
    <w:p w:rsidR="0094353A" w:rsidRPr="00413A5E" w:rsidRDefault="0094353A" w:rsidP="0094353A">
      <w:pPr>
        <w:jc w:val="both"/>
        <w:rPr>
          <w:sz w:val="22"/>
          <w:szCs w:val="22"/>
          <w:u w:val="single"/>
        </w:rPr>
      </w:pPr>
      <w:r w:rsidRPr="00413A5E">
        <w:rPr>
          <w:sz w:val="22"/>
          <w:szCs w:val="22"/>
          <w:u w:val="single"/>
        </w:rPr>
        <w:t>Workforce Categories</w:t>
      </w:r>
    </w:p>
    <w:p w:rsidR="002355F6" w:rsidRPr="00413A5E" w:rsidRDefault="0094353A" w:rsidP="002355F6">
      <w:pPr>
        <w:jc w:val="both"/>
        <w:rPr>
          <w:sz w:val="22"/>
          <w:szCs w:val="22"/>
        </w:rPr>
      </w:pPr>
      <w:r w:rsidRPr="00413A5E">
        <w:rPr>
          <w:sz w:val="22"/>
          <w:szCs w:val="22"/>
        </w:rPr>
        <w:t xml:space="preserve">Since 2004 the pay arrangements within NHS Scotland has been significantly modernised.  </w:t>
      </w:r>
      <w:r w:rsidR="00533FE3">
        <w:rPr>
          <w:sz w:val="22"/>
          <w:szCs w:val="22"/>
        </w:rPr>
        <w:t>E</w:t>
      </w:r>
      <w:r w:rsidRPr="00413A5E">
        <w:rPr>
          <w:sz w:val="22"/>
          <w:szCs w:val="22"/>
        </w:rPr>
        <w:t xml:space="preserve">mployees are </w:t>
      </w:r>
      <w:r w:rsidR="00533FE3">
        <w:rPr>
          <w:sz w:val="22"/>
          <w:szCs w:val="22"/>
        </w:rPr>
        <w:t xml:space="preserve">now </w:t>
      </w:r>
      <w:r w:rsidRPr="00413A5E">
        <w:rPr>
          <w:sz w:val="22"/>
          <w:szCs w:val="22"/>
        </w:rPr>
        <w:t>linked to broad organisational groupings</w:t>
      </w:r>
      <w:r w:rsidR="00193004" w:rsidRPr="00413A5E">
        <w:rPr>
          <w:sz w:val="22"/>
          <w:szCs w:val="22"/>
        </w:rPr>
        <w:t xml:space="preserve"> or job c</w:t>
      </w:r>
      <w:r w:rsidRPr="00413A5E">
        <w:rPr>
          <w:sz w:val="22"/>
          <w:szCs w:val="22"/>
        </w:rPr>
        <w:t xml:space="preserve">ategories.  </w:t>
      </w:r>
      <w:r w:rsidR="002355F6" w:rsidRPr="00413A5E">
        <w:rPr>
          <w:sz w:val="22"/>
          <w:szCs w:val="22"/>
        </w:rPr>
        <w:t>The</w:t>
      </w:r>
      <w:r w:rsidR="00533FE3">
        <w:rPr>
          <w:sz w:val="22"/>
          <w:szCs w:val="22"/>
        </w:rPr>
        <w:t>se</w:t>
      </w:r>
      <w:r w:rsidR="002355F6">
        <w:rPr>
          <w:sz w:val="22"/>
          <w:szCs w:val="22"/>
        </w:rPr>
        <w:t xml:space="preserve"> job categories </w:t>
      </w:r>
      <w:r w:rsidR="002355F6" w:rsidRPr="00413A5E">
        <w:rPr>
          <w:sz w:val="22"/>
          <w:szCs w:val="22"/>
        </w:rPr>
        <w:t>are:-</w:t>
      </w:r>
    </w:p>
    <w:p w:rsidR="002355F6" w:rsidRPr="00413A5E" w:rsidRDefault="002355F6" w:rsidP="002355F6">
      <w:pPr>
        <w:jc w:val="both"/>
        <w:rPr>
          <w:sz w:val="22"/>
          <w:szCs w:val="22"/>
        </w:rPr>
      </w:pPr>
    </w:p>
    <w:p w:rsidR="002355F6" w:rsidRPr="00413A5E" w:rsidRDefault="002355F6" w:rsidP="002355F6">
      <w:pPr>
        <w:numPr>
          <w:ilvl w:val="0"/>
          <w:numId w:val="1"/>
        </w:numPr>
        <w:spacing w:after="200" w:line="276" w:lineRule="auto"/>
        <w:jc w:val="both"/>
        <w:rPr>
          <w:sz w:val="22"/>
          <w:szCs w:val="22"/>
        </w:rPr>
      </w:pPr>
      <w:r w:rsidRPr="00413A5E">
        <w:rPr>
          <w:sz w:val="22"/>
          <w:szCs w:val="22"/>
        </w:rPr>
        <w:t>Agenda for Change (e.g. Nursing and Midwifery, Support Services, Allied Health Professionals)</w:t>
      </w:r>
    </w:p>
    <w:p w:rsidR="002355F6" w:rsidRPr="00413A5E" w:rsidRDefault="002355F6" w:rsidP="002355F6">
      <w:pPr>
        <w:numPr>
          <w:ilvl w:val="0"/>
          <w:numId w:val="1"/>
        </w:numPr>
        <w:spacing w:after="200" w:line="276" w:lineRule="auto"/>
        <w:jc w:val="both"/>
        <w:rPr>
          <w:sz w:val="22"/>
          <w:szCs w:val="22"/>
        </w:rPr>
      </w:pPr>
      <w:r w:rsidRPr="00413A5E">
        <w:rPr>
          <w:sz w:val="22"/>
          <w:szCs w:val="22"/>
        </w:rPr>
        <w:t>Executive and Senior Managers, and</w:t>
      </w:r>
    </w:p>
    <w:p w:rsidR="002355F6" w:rsidRPr="00413A5E" w:rsidRDefault="002355F6" w:rsidP="002355F6">
      <w:pPr>
        <w:numPr>
          <w:ilvl w:val="0"/>
          <w:numId w:val="1"/>
        </w:numPr>
        <w:spacing w:after="200" w:line="276" w:lineRule="auto"/>
        <w:jc w:val="both"/>
        <w:rPr>
          <w:sz w:val="22"/>
          <w:szCs w:val="22"/>
        </w:rPr>
      </w:pPr>
      <w:r w:rsidRPr="00413A5E">
        <w:rPr>
          <w:sz w:val="22"/>
          <w:szCs w:val="22"/>
        </w:rPr>
        <w:t xml:space="preserve">Medical and Dental (e.g. Consultants, Specialty Doctors, Training Grade Doctors) </w:t>
      </w:r>
    </w:p>
    <w:p w:rsidR="00E23A3B" w:rsidRDefault="00E23A3B" w:rsidP="002355F6">
      <w:pPr>
        <w:jc w:val="both"/>
        <w:rPr>
          <w:sz w:val="22"/>
          <w:szCs w:val="22"/>
        </w:rPr>
      </w:pPr>
      <w:r>
        <w:rPr>
          <w:sz w:val="22"/>
          <w:szCs w:val="22"/>
        </w:rPr>
        <w:t>The level of remuneration within these job categories</w:t>
      </w:r>
      <w:r w:rsidR="000B3717">
        <w:rPr>
          <w:sz w:val="22"/>
          <w:szCs w:val="22"/>
        </w:rPr>
        <w:t xml:space="preserve"> </w:t>
      </w:r>
      <w:r>
        <w:rPr>
          <w:sz w:val="22"/>
          <w:szCs w:val="22"/>
        </w:rPr>
        <w:t xml:space="preserve">is determined by job evaluation processes to ensure </w:t>
      </w:r>
      <w:r w:rsidR="00533FE3">
        <w:rPr>
          <w:sz w:val="22"/>
          <w:szCs w:val="22"/>
        </w:rPr>
        <w:t xml:space="preserve">employees </w:t>
      </w:r>
      <w:r w:rsidRPr="003A5A55">
        <w:rPr>
          <w:sz w:val="22"/>
          <w:szCs w:val="22"/>
        </w:rPr>
        <w:t xml:space="preserve">receive equal pay for the same or broadly similar work, or work rated as equivalent and for work of equal value.  There is therefore little variation in the basic hourly earnings of employees, employed on the same pay band or grade, due to their </w:t>
      </w:r>
      <w:r w:rsidR="000B3717">
        <w:rPr>
          <w:sz w:val="22"/>
          <w:szCs w:val="22"/>
        </w:rPr>
        <w:t xml:space="preserve">Protected Characteristic </w:t>
      </w:r>
      <w:r w:rsidR="00533FE3">
        <w:rPr>
          <w:sz w:val="22"/>
          <w:szCs w:val="22"/>
        </w:rPr>
        <w:t>s</w:t>
      </w:r>
      <w:r w:rsidR="000B3717">
        <w:rPr>
          <w:sz w:val="22"/>
          <w:szCs w:val="22"/>
        </w:rPr>
        <w:t>tatus</w:t>
      </w:r>
      <w:r w:rsidRPr="003A5A55">
        <w:rPr>
          <w:sz w:val="22"/>
          <w:szCs w:val="22"/>
        </w:rPr>
        <w:t>.</w:t>
      </w:r>
    </w:p>
    <w:p w:rsidR="00E23A3B" w:rsidRDefault="00E23A3B" w:rsidP="002355F6">
      <w:pPr>
        <w:jc w:val="both"/>
        <w:rPr>
          <w:sz w:val="22"/>
          <w:szCs w:val="22"/>
        </w:rPr>
      </w:pPr>
    </w:p>
    <w:p w:rsidR="004B051F" w:rsidRDefault="004B051F" w:rsidP="002355F6">
      <w:pPr>
        <w:jc w:val="both"/>
        <w:rPr>
          <w:sz w:val="22"/>
          <w:szCs w:val="22"/>
        </w:rPr>
      </w:pPr>
    </w:p>
    <w:p w:rsidR="00E23A3B" w:rsidRPr="00E23A3B" w:rsidRDefault="00E23A3B" w:rsidP="002355F6">
      <w:pPr>
        <w:jc w:val="both"/>
        <w:rPr>
          <w:sz w:val="22"/>
          <w:szCs w:val="22"/>
          <w:u w:val="single"/>
        </w:rPr>
      </w:pPr>
      <w:r w:rsidRPr="00E23A3B">
        <w:rPr>
          <w:sz w:val="22"/>
          <w:szCs w:val="22"/>
          <w:u w:val="single"/>
        </w:rPr>
        <w:t>Pay Audit Methodology</w:t>
      </w:r>
    </w:p>
    <w:p w:rsidR="00E23A3B" w:rsidRDefault="000B3717" w:rsidP="002355F6">
      <w:pPr>
        <w:jc w:val="both"/>
        <w:rPr>
          <w:sz w:val="22"/>
          <w:szCs w:val="22"/>
        </w:rPr>
      </w:pPr>
      <w:r>
        <w:rPr>
          <w:sz w:val="22"/>
          <w:szCs w:val="22"/>
        </w:rPr>
        <w:t xml:space="preserve">In accordance with the Equality Act Regulations, </w:t>
      </w:r>
      <w:r w:rsidR="00E23A3B">
        <w:rPr>
          <w:sz w:val="22"/>
          <w:szCs w:val="22"/>
        </w:rPr>
        <w:t xml:space="preserve">Equal Pay Audits were undertaken on the Protected Characteristics of Disability, Gender and Race </w:t>
      </w:r>
      <w:r w:rsidR="004B051F">
        <w:rPr>
          <w:sz w:val="22"/>
          <w:szCs w:val="22"/>
        </w:rPr>
        <w:t xml:space="preserve">for </w:t>
      </w:r>
      <w:r w:rsidR="00E23A3B">
        <w:rPr>
          <w:sz w:val="22"/>
          <w:szCs w:val="22"/>
        </w:rPr>
        <w:t xml:space="preserve">employees </w:t>
      </w:r>
      <w:r w:rsidR="004B051F">
        <w:rPr>
          <w:sz w:val="22"/>
          <w:szCs w:val="22"/>
        </w:rPr>
        <w:t xml:space="preserve">who </w:t>
      </w:r>
      <w:r w:rsidR="00E23A3B">
        <w:rPr>
          <w:sz w:val="22"/>
          <w:szCs w:val="22"/>
        </w:rPr>
        <w:t xml:space="preserve">had provided a positive response within their equal opportunity </w:t>
      </w:r>
      <w:r w:rsidR="004B051F">
        <w:rPr>
          <w:sz w:val="22"/>
          <w:szCs w:val="22"/>
        </w:rPr>
        <w:t>questionnaire</w:t>
      </w:r>
      <w:r w:rsidR="00C41575">
        <w:rPr>
          <w:sz w:val="22"/>
          <w:szCs w:val="22"/>
        </w:rPr>
        <w:t xml:space="preserve"> </w:t>
      </w:r>
      <w:r w:rsidR="006C508E">
        <w:rPr>
          <w:sz w:val="22"/>
          <w:szCs w:val="22"/>
        </w:rPr>
        <w:t>completed on</w:t>
      </w:r>
      <w:r w:rsidR="00C41575">
        <w:rPr>
          <w:sz w:val="22"/>
          <w:szCs w:val="22"/>
        </w:rPr>
        <w:t xml:space="preserve"> commencement of employment</w:t>
      </w:r>
      <w:r w:rsidR="00E23A3B">
        <w:rPr>
          <w:sz w:val="22"/>
          <w:szCs w:val="22"/>
        </w:rPr>
        <w:t xml:space="preserve">.  Entries which were blank, or where employees opted not to provide these details, were discounted.  </w:t>
      </w:r>
      <w:r>
        <w:rPr>
          <w:sz w:val="22"/>
          <w:szCs w:val="22"/>
        </w:rPr>
        <w:t>The table below provides the percentage of staff who recorded a positive response for each of the characteristics.</w:t>
      </w:r>
    </w:p>
    <w:p w:rsidR="000B3717" w:rsidRDefault="000B3717" w:rsidP="002355F6">
      <w:pPr>
        <w:jc w:val="both"/>
        <w:rPr>
          <w:sz w:val="22"/>
          <w:szCs w:val="22"/>
        </w:rPr>
      </w:pPr>
    </w:p>
    <w:tbl>
      <w:tblPr>
        <w:tblStyle w:val="TableGrid"/>
        <w:tblW w:w="0" w:type="auto"/>
        <w:tblLook w:val="04A0"/>
      </w:tblPr>
      <w:tblGrid>
        <w:gridCol w:w="1684"/>
        <w:gridCol w:w="1399"/>
        <w:gridCol w:w="1684"/>
        <w:gridCol w:w="1397"/>
        <w:gridCol w:w="1684"/>
        <w:gridCol w:w="1394"/>
      </w:tblGrid>
      <w:tr w:rsidR="000B3717" w:rsidTr="000B3717">
        <w:tc>
          <w:tcPr>
            <w:tcW w:w="1561" w:type="dxa"/>
          </w:tcPr>
          <w:p w:rsidR="000B3717" w:rsidRPr="000B3717" w:rsidRDefault="000B3717" w:rsidP="002355F6">
            <w:pPr>
              <w:jc w:val="both"/>
              <w:rPr>
                <w:b/>
                <w:szCs w:val="22"/>
              </w:rPr>
            </w:pPr>
            <w:r w:rsidRPr="000B3717">
              <w:rPr>
                <w:b/>
                <w:szCs w:val="22"/>
              </w:rPr>
              <w:t>Characteristic</w:t>
            </w:r>
          </w:p>
        </w:tc>
        <w:tc>
          <w:tcPr>
            <w:tcW w:w="1536" w:type="dxa"/>
          </w:tcPr>
          <w:p w:rsidR="000B3717" w:rsidRPr="000B3717" w:rsidRDefault="000B3717" w:rsidP="000B3717">
            <w:pPr>
              <w:jc w:val="both"/>
              <w:rPr>
                <w:b/>
                <w:szCs w:val="22"/>
              </w:rPr>
            </w:pPr>
            <w:r w:rsidRPr="000B3717">
              <w:rPr>
                <w:b/>
                <w:szCs w:val="22"/>
              </w:rPr>
              <w:t>Response</w:t>
            </w:r>
          </w:p>
        </w:tc>
        <w:tc>
          <w:tcPr>
            <w:tcW w:w="1561" w:type="dxa"/>
          </w:tcPr>
          <w:p w:rsidR="000B3717" w:rsidRPr="000B3717" w:rsidRDefault="000B3717" w:rsidP="00B86F77">
            <w:pPr>
              <w:jc w:val="both"/>
              <w:rPr>
                <w:b/>
                <w:szCs w:val="22"/>
              </w:rPr>
            </w:pPr>
            <w:r w:rsidRPr="000B3717">
              <w:rPr>
                <w:b/>
                <w:szCs w:val="22"/>
              </w:rPr>
              <w:t>Characteristic</w:t>
            </w:r>
          </w:p>
        </w:tc>
        <w:tc>
          <w:tcPr>
            <w:tcW w:w="1532" w:type="dxa"/>
          </w:tcPr>
          <w:p w:rsidR="000B3717" w:rsidRPr="000B3717" w:rsidRDefault="000B3717" w:rsidP="00B86F77">
            <w:pPr>
              <w:jc w:val="both"/>
              <w:rPr>
                <w:b/>
                <w:szCs w:val="22"/>
              </w:rPr>
            </w:pPr>
            <w:r w:rsidRPr="000B3717">
              <w:rPr>
                <w:b/>
                <w:szCs w:val="22"/>
              </w:rPr>
              <w:t>Response</w:t>
            </w:r>
          </w:p>
        </w:tc>
        <w:tc>
          <w:tcPr>
            <w:tcW w:w="1526" w:type="dxa"/>
          </w:tcPr>
          <w:p w:rsidR="000B3717" w:rsidRPr="000B3717" w:rsidRDefault="000B3717" w:rsidP="00B86F77">
            <w:pPr>
              <w:jc w:val="both"/>
              <w:rPr>
                <w:b/>
                <w:szCs w:val="22"/>
              </w:rPr>
            </w:pPr>
            <w:r w:rsidRPr="000B3717">
              <w:rPr>
                <w:b/>
                <w:szCs w:val="22"/>
              </w:rPr>
              <w:t>Characteristic</w:t>
            </w:r>
          </w:p>
        </w:tc>
        <w:tc>
          <w:tcPr>
            <w:tcW w:w="1526" w:type="dxa"/>
          </w:tcPr>
          <w:p w:rsidR="000B3717" w:rsidRPr="000B3717" w:rsidRDefault="000B3717" w:rsidP="00B86F77">
            <w:pPr>
              <w:jc w:val="both"/>
              <w:rPr>
                <w:b/>
                <w:szCs w:val="22"/>
              </w:rPr>
            </w:pPr>
            <w:r w:rsidRPr="000B3717">
              <w:rPr>
                <w:b/>
                <w:szCs w:val="22"/>
              </w:rPr>
              <w:t>Response</w:t>
            </w:r>
          </w:p>
        </w:tc>
      </w:tr>
      <w:tr w:rsidR="000B3717" w:rsidTr="000B3717">
        <w:tc>
          <w:tcPr>
            <w:tcW w:w="1561" w:type="dxa"/>
          </w:tcPr>
          <w:p w:rsidR="000B3717" w:rsidRDefault="000B3717" w:rsidP="002355F6">
            <w:pPr>
              <w:jc w:val="both"/>
              <w:rPr>
                <w:szCs w:val="22"/>
              </w:rPr>
            </w:pPr>
            <w:r>
              <w:rPr>
                <w:szCs w:val="22"/>
              </w:rPr>
              <w:t>Disability</w:t>
            </w:r>
          </w:p>
        </w:tc>
        <w:tc>
          <w:tcPr>
            <w:tcW w:w="1536" w:type="dxa"/>
          </w:tcPr>
          <w:p w:rsidR="000B3717" w:rsidRDefault="000B3717" w:rsidP="00B86F77">
            <w:pPr>
              <w:jc w:val="right"/>
              <w:rPr>
                <w:szCs w:val="22"/>
              </w:rPr>
            </w:pPr>
            <w:r>
              <w:rPr>
                <w:szCs w:val="22"/>
              </w:rPr>
              <w:t>4</w:t>
            </w:r>
            <w:r w:rsidR="00B86F77">
              <w:rPr>
                <w:szCs w:val="22"/>
              </w:rPr>
              <w:t>7</w:t>
            </w:r>
            <w:r>
              <w:rPr>
                <w:szCs w:val="22"/>
              </w:rPr>
              <w:t xml:space="preserve">% </w:t>
            </w:r>
          </w:p>
        </w:tc>
        <w:tc>
          <w:tcPr>
            <w:tcW w:w="1561" w:type="dxa"/>
          </w:tcPr>
          <w:p w:rsidR="000B3717" w:rsidRDefault="000B3717" w:rsidP="002355F6">
            <w:pPr>
              <w:jc w:val="both"/>
              <w:rPr>
                <w:szCs w:val="22"/>
              </w:rPr>
            </w:pPr>
            <w:r>
              <w:rPr>
                <w:szCs w:val="22"/>
              </w:rPr>
              <w:t>Gender</w:t>
            </w:r>
          </w:p>
        </w:tc>
        <w:tc>
          <w:tcPr>
            <w:tcW w:w="1532" w:type="dxa"/>
          </w:tcPr>
          <w:p w:rsidR="000B3717" w:rsidRDefault="000B3717" w:rsidP="000B3717">
            <w:pPr>
              <w:jc w:val="right"/>
              <w:rPr>
                <w:szCs w:val="22"/>
              </w:rPr>
            </w:pPr>
            <w:r>
              <w:rPr>
                <w:szCs w:val="22"/>
              </w:rPr>
              <w:t>100%</w:t>
            </w:r>
          </w:p>
        </w:tc>
        <w:tc>
          <w:tcPr>
            <w:tcW w:w="1526" w:type="dxa"/>
          </w:tcPr>
          <w:p w:rsidR="000B3717" w:rsidRDefault="000B3717" w:rsidP="002355F6">
            <w:pPr>
              <w:jc w:val="both"/>
              <w:rPr>
                <w:szCs w:val="22"/>
              </w:rPr>
            </w:pPr>
            <w:r>
              <w:rPr>
                <w:szCs w:val="22"/>
              </w:rPr>
              <w:t>Race</w:t>
            </w:r>
          </w:p>
        </w:tc>
        <w:tc>
          <w:tcPr>
            <w:tcW w:w="1526" w:type="dxa"/>
          </w:tcPr>
          <w:p w:rsidR="000B3717" w:rsidRDefault="00B86F77" w:rsidP="00B86F77">
            <w:pPr>
              <w:jc w:val="right"/>
              <w:rPr>
                <w:szCs w:val="22"/>
              </w:rPr>
            </w:pPr>
            <w:r>
              <w:rPr>
                <w:szCs w:val="22"/>
              </w:rPr>
              <w:t>61</w:t>
            </w:r>
            <w:r w:rsidR="000B3717">
              <w:rPr>
                <w:szCs w:val="22"/>
              </w:rPr>
              <w:t>%</w:t>
            </w:r>
          </w:p>
        </w:tc>
      </w:tr>
    </w:tbl>
    <w:p w:rsidR="00E23A3B" w:rsidRDefault="00E23A3B" w:rsidP="002355F6">
      <w:pPr>
        <w:jc w:val="both"/>
        <w:rPr>
          <w:sz w:val="22"/>
          <w:szCs w:val="22"/>
        </w:rPr>
      </w:pPr>
    </w:p>
    <w:p w:rsidR="004B051F" w:rsidRDefault="004B051F" w:rsidP="002355F6">
      <w:pPr>
        <w:jc w:val="both"/>
        <w:rPr>
          <w:sz w:val="22"/>
          <w:szCs w:val="22"/>
        </w:rPr>
      </w:pPr>
      <w:r>
        <w:rPr>
          <w:sz w:val="22"/>
          <w:szCs w:val="22"/>
        </w:rPr>
        <w:t>The</w:t>
      </w:r>
      <w:r w:rsidR="00E23A3B">
        <w:rPr>
          <w:sz w:val="22"/>
          <w:szCs w:val="22"/>
        </w:rPr>
        <w:t xml:space="preserve"> Audit </w:t>
      </w:r>
      <w:r>
        <w:rPr>
          <w:sz w:val="22"/>
          <w:szCs w:val="22"/>
        </w:rPr>
        <w:t xml:space="preserve">calculates the </w:t>
      </w:r>
      <w:r w:rsidR="00E23A3B">
        <w:rPr>
          <w:sz w:val="22"/>
          <w:szCs w:val="22"/>
        </w:rPr>
        <w:t>percentage difference</w:t>
      </w:r>
      <w:r w:rsidR="000B3717">
        <w:rPr>
          <w:sz w:val="22"/>
          <w:szCs w:val="22"/>
        </w:rPr>
        <w:t xml:space="preserve"> based on the average hourly pay (excluding overtime)</w:t>
      </w:r>
      <w:r w:rsidR="00E23A3B">
        <w:rPr>
          <w:sz w:val="22"/>
          <w:szCs w:val="22"/>
        </w:rPr>
        <w:t xml:space="preserve">, among our employees, between </w:t>
      </w:r>
      <w:r>
        <w:rPr>
          <w:sz w:val="22"/>
          <w:szCs w:val="22"/>
        </w:rPr>
        <w:t>persons who held a particular Characteristic</w:t>
      </w:r>
      <w:r w:rsidR="000B3717">
        <w:rPr>
          <w:sz w:val="22"/>
          <w:szCs w:val="22"/>
        </w:rPr>
        <w:t xml:space="preserve"> </w:t>
      </w:r>
      <w:r>
        <w:rPr>
          <w:sz w:val="22"/>
          <w:szCs w:val="22"/>
        </w:rPr>
        <w:t>and persons who did not hold the Characteristic.</w:t>
      </w:r>
    </w:p>
    <w:p w:rsidR="004B051F" w:rsidRDefault="004B051F" w:rsidP="002355F6">
      <w:pPr>
        <w:jc w:val="both"/>
        <w:rPr>
          <w:sz w:val="22"/>
          <w:szCs w:val="22"/>
        </w:rPr>
      </w:pPr>
    </w:p>
    <w:p w:rsidR="0094353A" w:rsidRDefault="004B051F" w:rsidP="002355F6">
      <w:pPr>
        <w:jc w:val="both"/>
        <w:rPr>
          <w:sz w:val="22"/>
          <w:szCs w:val="22"/>
        </w:rPr>
      </w:pPr>
      <w:r>
        <w:rPr>
          <w:sz w:val="22"/>
          <w:szCs w:val="22"/>
        </w:rPr>
        <w:t xml:space="preserve">The audit </w:t>
      </w:r>
      <w:r w:rsidR="000B3717">
        <w:rPr>
          <w:sz w:val="22"/>
          <w:szCs w:val="22"/>
        </w:rPr>
        <w:t xml:space="preserve">reflects </w:t>
      </w:r>
      <w:r w:rsidR="00193004" w:rsidRPr="00413A5E">
        <w:rPr>
          <w:sz w:val="22"/>
          <w:szCs w:val="22"/>
        </w:rPr>
        <w:t>payroll records extracted on 31</w:t>
      </w:r>
      <w:r w:rsidR="00193004" w:rsidRPr="00413A5E">
        <w:rPr>
          <w:sz w:val="22"/>
          <w:szCs w:val="22"/>
          <w:vertAlign w:val="superscript"/>
        </w:rPr>
        <w:t>st</w:t>
      </w:r>
      <w:r w:rsidR="00F25773" w:rsidRPr="00413A5E">
        <w:rPr>
          <w:sz w:val="22"/>
          <w:szCs w:val="22"/>
        </w:rPr>
        <w:t xml:space="preserve"> </w:t>
      </w:r>
      <w:r w:rsidR="00B86F77">
        <w:rPr>
          <w:sz w:val="22"/>
          <w:szCs w:val="22"/>
        </w:rPr>
        <w:t>January 2021</w:t>
      </w:r>
      <w:r>
        <w:rPr>
          <w:sz w:val="22"/>
          <w:szCs w:val="22"/>
        </w:rPr>
        <w:t xml:space="preserve">.  </w:t>
      </w:r>
      <w:r w:rsidR="00C41575">
        <w:rPr>
          <w:sz w:val="22"/>
          <w:szCs w:val="22"/>
        </w:rPr>
        <w:t xml:space="preserve">As of this date, </w:t>
      </w:r>
      <w:r w:rsidR="00193004" w:rsidRPr="00413A5E">
        <w:rPr>
          <w:sz w:val="22"/>
          <w:szCs w:val="22"/>
        </w:rPr>
        <w:t xml:space="preserve">NHS Fife </w:t>
      </w:r>
      <w:r w:rsidR="00E23A3B">
        <w:rPr>
          <w:sz w:val="22"/>
          <w:szCs w:val="22"/>
        </w:rPr>
        <w:t xml:space="preserve">employed 8,524 employees and held </w:t>
      </w:r>
      <w:r w:rsidR="00B86F77">
        <w:rPr>
          <w:sz w:val="22"/>
          <w:szCs w:val="22"/>
        </w:rPr>
        <w:t>9,155</w:t>
      </w:r>
      <w:r w:rsidR="00B86AFD">
        <w:rPr>
          <w:sz w:val="22"/>
          <w:szCs w:val="22"/>
        </w:rPr>
        <w:t xml:space="preserve"> separate</w:t>
      </w:r>
      <w:r w:rsidR="00533FE3">
        <w:rPr>
          <w:sz w:val="22"/>
          <w:szCs w:val="22"/>
        </w:rPr>
        <w:t xml:space="preserve"> assignments</w:t>
      </w:r>
      <w:r w:rsidR="00193004" w:rsidRPr="00413A5E">
        <w:rPr>
          <w:sz w:val="22"/>
          <w:szCs w:val="22"/>
        </w:rPr>
        <w:t xml:space="preserve">.  </w:t>
      </w:r>
    </w:p>
    <w:p w:rsidR="000B3717" w:rsidRDefault="000B3717" w:rsidP="002355F6">
      <w:pPr>
        <w:jc w:val="both"/>
        <w:rPr>
          <w:sz w:val="22"/>
          <w:szCs w:val="22"/>
        </w:rPr>
      </w:pPr>
    </w:p>
    <w:p w:rsidR="000B3717" w:rsidRDefault="000B3717" w:rsidP="002355F6">
      <w:pPr>
        <w:jc w:val="both"/>
        <w:rPr>
          <w:sz w:val="22"/>
          <w:szCs w:val="22"/>
        </w:rPr>
      </w:pPr>
      <w:r>
        <w:rPr>
          <w:sz w:val="22"/>
          <w:szCs w:val="22"/>
        </w:rPr>
        <w:t>Collated information is presented to provide an overview of the equal pay audit.  Where results have indicated a headcount of 5 employees or less the average hourly rate of pay has been redacted to ensure confidentiality of the employees involved.</w:t>
      </w:r>
    </w:p>
    <w:p w:rsidR="002355F6" w:rsidRDefault="002355F6" w:rsidP="002355F6">
      <w:pPr>
        <w:jc w:val="both"/>
        <w:rPr>
          <w:sz w:val="22"/>
          <w:szCs w:val="22"/>
        </w:rPr>
      </w:pPr>
    </w:p>
    <w:p w:rsidR="0094353A" w:rsidRPr="00413A5E" w:rsidRDefault="0094353A" w:rsidP="0094353A">
      <w:pPr>
        <w:jc w:val="both"/>
        <w:rPr>
          <w:sz w:val="22"/>
          <w:szCs w:val="22"/>
          <w:u w:val="single"/>
        </w:rPr>
      </w:pPr>
    </w:p>
    <w:p w:rsidR="0094353A" w:rsidRDefault="0094353A" w:rsidP="0094353A">
      <w:pPr>
        <w:jc w:val="both"/>
        <w:rPr>
          <w:sz w:val="22"/>
          <w:szCs w:val="22"/>
          <w:u w:val="single"/>
        </w:rPr>
      </w:pPr>
      <w:r w:rsidRPr="00413A5E">
        <w:rPr>
          <w:sz w:val="22"/>
          <w:szCs w:val="22"/>
          <w:u w:val="single"/>
        </w:rPr>
        <w:lastRenderedPageBreak/>
        <w:t>Result</w:t>
      </w:r>
      <w:r w:rsidR="00F156F2" w:rsidRPr="00413A5E">
        <w:rPr>
          <w:sz w:val="22"/>
          <w:szCs w:val="22"/>
          <w:u w:val="single"/>
        </w:rPr>
        <w:t>s</w:t>
      </w:r>
      <w:r w:rsidRPr="00413A5E">
        <w:rPr>
          <w:sz w:val="22"/>
          <w:szCs w:val="22"/>
          <w:u w:val="single"/>
        </w:rPr>
        <w:t xml:space="preserve"> of the </w:t>
      </w:r>
      <w:r w:rsidR="00B86F77">
        <w:rPr>
          <w:sz w:val="22"/>
          <w:szCs w:val="22"/>
          <w:u w:val="single"/>
        </w:rPr>
        <w:t>2021</w:t>
      </w:r>
      <w:r w:rsidR="006A1820" w:rsidRPr="00413A5E">
        <w:rPr>
          <w:sz w:val="22"/>
          <w:szCs w:val="22"/>
          <w:u w:val="single"/>
        </w:rPr>
        <w:t xml:space="preserve"> </w:t>
      </w:r>
      <w:r w:rsidRPr="00413A5E">
        <w:rPr>
          <w:sz w:val="22"/>
          <w:szCs w:val="22"/>
          <w:u w:val="single"/>
        </w:rPr>
        <w:t>Pay Audit</w:t>
      </w:r>
    </w:p>
    <w:p w:rsidR="00C41575" w:rsidRPr="00413A5E" w:rsidRDefault="00C41575" w:rsidP="0094353A">
      <w:pPr>
        <w:jc w:val="both"/>
        <w:rPr>
          <w:sz w:val="22"/>
          <w:szCs w:val="22"/>
          <w:u w:val="single"/>
        </w:rPr>
      </w:pPr>
    </w:p>
    <w:p w:rsidR="00F156F2" w:rsidRDefault="00F156F2" w:rsidP="0094353A">
      <w:pPr>
        <w:jc w:val="both"/>
        <w:rPr>
          <w:sz w:val="22"/>
          <w:szCs w:val="22"/>
        </w:rPr>
      </w:pPr>
      <w:r w:rsidRPr="00413A5E">
        <w:rPr>
          <w:sz w:val="22"/>
          <w:szCs w:val="22"/>
        </w:rPr>
        <w:t>The results of the</w:t>
      </w:r>
      <w:r w:rsidR="003D634D">
        <w:rPr>
          <w:sz w:val="22"/>
          <w:szCs w:val="22"/>
        </w:rPr>
        <w:t xml:space="preserve"> Equal </w:t>
      </w:r>
      <w:r w:rsidRPr="00413A5E">
        <w:rPr>
          <w:sz w:val="22"/>
          <w:szCs w:val="22"/>
        </w:rPr>
        <w:t xml:space="preserve">Pay Audits are detailed </w:t>
      </w:r>
      <w:r w:rsidR="004B2E36">
        <w:rPr>
          <w:sz w:val="22"/>
          <w:szCs w:val="22"/>
        </w:rPr>
        <w:t xml:space="preserve">in the tables </w:t>
      </w:r>
      <w:r w:rsidRPr="00413A5E">
        <w:rPr>
          <w:sz w:val="22"/>
          <w:szCs w:val="22"/>
        </w:rPr>
        <w:t>below.</w:t>
      </w:r>
    </w:p>
    <w:p w:rsidR="004B051F" w:rsidRDefault="004B051F" w:rsidP="0094353A">
      <w:pPr>
        <w:jc w:val="both"/>
        <w:rPr>
          <w:sz w:val="22"/>
          <w:szCs w:val="22"/>
        </w:rPr>
      </w:pPr>
    </w:p>
    <w:p w:rsidR="00F156F2" w:rsidRDefault="00851063" w:rsidP="0094353A">
      <w:pPr>
        <w:jc w:val="both"/>
        <w:rPr>
          <w:sz w:val="22"/>
          <w:szCs w:val="22"/>
        </w:rPr>
      </w:pPr>
      <w:r>
        <w:rPr>
          <w:noProof/>
          <w:sz w:val="22"/>
          <w:szCs w:val="22"/>
          <w:lang w:eastAsia="en-GB"/>
        </w:rPr>
        <w:drawing>
          <wp:inline distT="0" distB="0" distL="0" distR="0">
            <wp:extent cx="5731510" cy="1395526"/>
            <wp:effectExtent l="1905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31510" cy="1395526"/>
                    </a:xfrm>
                    <a:prstGeom prst="rect">
                      <a:avLst/>
                    </a:prstGeom>
                    <a:noFill/>
                    <a:ln w="9525">
                      <a:noFill/>
                      <a:miter lim="800000"/>
                      <a:headEnd/>
                      <a:tailEnd/>
                    </a:ln>
                  </pic:spPr>
                </pic:pic>
              </a:graphicData>
            </a:graphic>
          </wp:inline>
        </w:drawing>
      </w:r>
    </w:p>
    <w:p w:rsidR="003A5A55" w:rsidRDefault="003A5A55" w:rsidP="0094353A">
      <w:pPr>
        <w:jc w:val="both"/>
        <w:rPr>
          <w:sz w:val="22"/>
          <w:szCs w:val="22"/>
        </w:rPr>
      </w:pPr>
    </w:p>
    <w:p w:rsidR="004B051F" w:rsidRPr="00413A5E" w:rsidRDefault="004B051F" w:rsidP="0094353A">
      <w:pPr>
        <w:jc w:val="both"/>
        <w:rPr>
          <w:sz w:val="22"/>
          <w:szCs w:val="22"/>
        </w:rPr>
      </w:pPr>
    </w:p>
    <w:p w:rsidR="00F156F2" w:rsidRDefault="00851063" w:rsidP="0094353A">
      <w:pPr>
        <w:jc w:val="both"/>
      </w:pPr>
      <w:r>
        <w:rPr>
          <w:noProof/>
          <w:lang w:eastAsia="en-GB"/>
        </w:rPr>
        <w:drawing>
          <wp:inline distT="0" distB="0" distL="0" distR="0">
            <wp:extent cx="5731510" cy="1386568"/>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31510" cy="1386568"/>
                    </a:xfrm>
                    <a:prstGeom prst="rect">
                      <a:avLst/>
                    </a:prstGeom>
                    <a:noFill/>
                    <a:ln w="9525">
                      <a:noFill/>
                      <a:miter lim="800000"/>
                      <a:headEnd/>
                      <a:tailEnd/>
                    </a:ln>
                  </pic:spPr>
                </pic:pic>
              </a:graphicData>
            </a:graphic>
          </wp:inline>
        </w:drawing>
      </w:r>
    </w:p>
    <w:p w:rsidR="00413A5E" w:rsidRDefault="00413A5E" w:rsidP="0094353A">
      <w:pPr>
        <w:jc w:val="both"/>
      </w:pPr>
    </w:p>
    <w:p w:rsidR="00F156F2" w:rsidRDefault="00F156F2" w:rsidP="0094353A">
      <w:pPr>
        <w:jc w:val="both"/>
      </w:pPr>
    </w:p>
    <w:p w:rsidR="00B86AFD" w:rsidRDefault="005C3E16" w:rsidP="0094353A">
      <w:pPr>
        <w:jc w:val="both"/>
      </w:pPr>
      <w:r>
        <w:rPr>
          <w:noProof/>
          <w:lang w:eastAsia="en-GB"/>
        </w:rPr>
        <w:drawing>
          <wp:inline distT="0" distB="0" distL="0" distR="0">
            <wp:extent cx="5734230" cy="14777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1477035"/>
                    </a:xfrm>
                    <a:prstGeom prst="rect">
                      <a:avLst/>
                    </a:prstGeom>
                    <a:noFill/>
                    <a:ln w="9525">
                      <a:noFill/>
                      <a:miter lim="800000"/>
                      <a:headEnd/>
                      <a:tailEnd/>
                    </a:ln>
                  </pic:spPr>
                </pic:pic>
              </a:graphicData>
            </a:graphic>
          </wp:inline>
        </w:drawing>
      </w:r>
    </w:p>
    <w:p w:rsidR="00413A5E" w:rsidRDefault="00413A5E" w:rsidP="0094353A">
      <w:pPr>
        <w:jc w:val="both"/>
      </w:pPr>
    </w:p>
    <w:p w:rsidR="0094353A" w:rsidRDefault="0094353A" w:rsidP="0094353A">
      <w:pPr>
        <w:jc w:val="both"/>
      </w:pPr>
    </w:p>
    <w:p w:rsidR="003A5A55" w:rsidRDefault="003A5A55" w:rsidP="003A5A55">
      <w:pPr>
        <w:jc w:val="both"/>
        <w:rPr>
          <w:sz w:val="22"/>
          <w:szCs w:val="22"/>
          <w:u w:val="single"/>
        </w:rPr>
      </w:pPr>
      <w:r w:rsidRPr="003A5A55">
        <w:rPr>
          <w:sz w:val="22"/>
          <w:szCs w:val="22"/>
          <w:u w:val="single"/>
        </w:rPr>
        <w:t>Occupational Segregation Indicators</w:t>
      </w:r>
    </w:p>
    <w:p w:rsidR="003A5A55" w:rsidRPr="003A5A55" w:rsidRDefault="003A5A55" w:rsidP="003A5A55">
      <w:pPr>
        <w:jc w:val="both"/>
        <w:rPr>
          <w:sz w:val="22"/>
          <w:szCs w:val="22"/>
          <w:u w:val="single"/>
        </w:rPr>
      </w:pPr>
    </w:p>
    <w:p w:rsidR="000F2632" w:rsidRDefault="000F2632" w:rsidP="003A5A55">
      <w:pPr>
        <w:spacing w:after="200" w:line="276" w:lineRule="auto"/>
        <w:jc w:val="center"/>
        <w:rPr>
          <w:sz w:val="22"/>
          <w:szCs w:val="22"/>
        </w:rPr>
      </w:pPr>
      <w:r>
        <w:rPr>
          <w:sz w:val="22"/>
          <w:szCs w:val="22"/>
        </w:rPr>
        <w:t>Disability</w:t>
      </w:r>
    </w:p>
    <w:p w:rsidR="000F2632" w:rsidRDefault="00D935BE" w:rsidP="000F2632">
      <w:pPr>
        <w:numPr>
          <w:ilvl w:val="0"/>
          <w:numId w:val="2"/>
        </w:numPr>
        <w:spacing w:after="200" w:line="276" w:lineRule="auto"/>
        <w:jc w:val="both"/>
        <w:rPr>
          <w:sz w:val="22"/>
          <w:szCs w:val="22"/>
        </w:rPr>
      </w:pPr>
      <w:r>
        <w:rPr>
          <w:sz w:val="22"/>
          <w:szCs w:val="22"/>
        </w:rPr>
        <w:t>1.</w:t>
      </w:r>
      <w:r w:rsidR="00851063">
        <w:rPr>
          <w:sz w:val="22"/>
          <w:szCs w:val="22"/>
        </w:rPr>
        <w:t>4</w:t>
      </w:r>
      <w:r w:rsidRPr="003A5A55">
        <w:rPr>
          <w:sz w:val="22"/>
          <w:szCs w:val="22"/>
        </w:rPr>
        <w:t xml:space="preserve">% of the </w:t>
      </w:r>
      <w:r w:rsidR="00C41575">
        <w:rPr>
          <w:sz w:val="22"/>
          <w:szCs w:val="22"/>
        </w:rPr>
        <w:t xml:space="preserve">NHS Fife </w:t>
      </w:r>
      <w:r w:rsidRPr="003A5A55">
        <w:rPr>
          <w:sz w:val="22"/>
          <w:szCs w:val="22"/>
        </w:rPr>
        <w:t xml:space="preserve">workforce </w:t>
      </w:r>
      <w:r w:rsidR="004B051F">
        <w:rPr>
          <w:sz w:val="22"/>
          <w:szCs w:val="22"/>
        </w:rPr>
        <w:t>confirmed they held</w:t>
      </w:r>
      <w:r w:rsidRPr="003A5A55">
        <w:rPr>
          <w:sz w:val="22"/>
          <w:szCs w:val="22"/>
        </w:rPr>
        <w:t xml:space="preserve"> a physical or mental impairment that has a substantial and long-term negative effect on their ability to do normal daily activities.  These employees meet the definition of disabled under the Equality Act. </w:t>
      </w:r>
      <w:r w:rsidR="000F2632">
        <w:rPr>
          <w:sz w:val="22"/>
          <w:szCs w:val="22"/>
        </w:rPr>
        <w:t>The pay gap between persons who are disabled and people who are not is -4.</w:t>
      </w:r>
      <w:r w:rsidR="00851063">
        <w:rPr>
          <w:sz w:val="22"/>
          <w:szCs w:val="22"/>
        </w:rPr>
        <w:t>44</w:t>
      </w:r>
      <w:r w:rsidR="000F2632">
        <w:rPr>
          <w:sz w:val="22"/>
          <w:szCs w:val="22"/>
        </w:rPr>
        <w:t xml:space="preserve">%.  This reduces to </w:t>
      </w:r>
      <w:r w:rsidR="00851063">
        <w:rPr>
          <w:sz w:val="22"/>
          <w:szCs w:val="22"/>
        </w:rPr>
        <w:t>0.0%</w:t>
      </w:r>
      <w:r w:rsidR="000F2632">
        <w:rPr>
          <w:sz w:val="22"/>
          <w:szCs w:val="22"/>
        </w:rPr>
        <w:t xml:space="preserve"> when the median value is taken.</w:t>
      </w:r>
    </w:p>
    <w:p w:rsidR="008B780C" w:rsidRDefault="000F2632" w:rsidP="000F2632">
      <w:pPr>
        <w:numPr>
          <w:ilvl w:val="0"/>
          <w:numId w:val="2"/>
        </w:numPr>
        <w:spacing w:after="200" w:line="276" w:lineRule="auto"/>
        <w:jc w:val="both"/>
        <w:rPr>
          <w:sz w:val="22"/>
          <w:szCs w:val="22"/>
        </w:rPr>
      </w:pPr>
      <w:r>
        <w:rPr>
          <w:sz w:val="22"/>
          <w:szCs w:val="22"/>
        </w:rPr>
        <w:t xml:space="preserve">The </w:t>
      </w:r>
      <w:r w:rsidR="008B780C">
        <w:rPr>
          <w:sz w:val="22"/>
          <w:szCs w:val="22"/>
        </w:rPr>
        <w:t xml:space="preserve">overall </w:t>
      </w:r>
      <w:r>
        <w:rPr>
          <w:sz w:val="22"/>
          <w:szCs w:val="22"/>
        </w:rPr>
        <w:t xml:space="preserve">banding distribution </w:t>
      </w:r>
      <w:r w:rsidR="008B780C">
        <w:rPr>
          <w:sz w:val="22"/>
          <w:szCs w:val="22"/>
        </w:rPr>
        <w:t xml:space="preserve">for </w:t>
      </w:r>
      <w:r>
        <w:rPr>
          <w:sz w:val="22"/>
          <w:szCs w:val="22"/>
        </w:rPr>
        <w:t xml:space="preserve">persons who are disabled is consistent </w:t>
      </w:r>
      <w:r w:rsidR="008B780C">
        <w:rPr>
          <w:sz w:val="22"/>
          <w:szCs w:val="22"/>
        </w:rPr>
        <w:t xml:space="preserve">with that for </w:t>
      </w:r>
      <w:r>
        <w:rPr>
          <w:sz w:val="22"/>
          <w:szCs w:val="22"/>
        </w:rPr>
        <w:t xml:space="preserve">people who are not.  The mode banding for each group is Band 5.  </w:t>
      </w:r>
      <w:r w:rsidR="008B780C">
        <w:rPr>
          <w:sz w:val="22"/>
          <w:szCs w:val="22"/>
        </w:rPr>
        <w:t xml:space="preserve">There are small variations within individual job families, for example the percentage of persons who are disabled engaged in </w:t>
      </w:r>
      <w:r w:rsidR="0006071F">
        <w:rPr>
          <w:sz w:val="22"/>
          <w:szCs w:val="22"/>
        </w:rPr>
        <w:t xml:space="preserve">Administrative Services </w:t>
      </w:r>
      <w:r w:rsidR="008B780C">
        <w:rPr>
          <w:sz w:val="22"/>
          <w:szCs w:val="22"/>
        </w:rPr>
        <w:t>is 3.</w:t>
      </w:r>
      <w:r w:rsidR="0006071F">
        <w:rPr>
          <w:sz w:val="22"/>
          <w:szCs w:val="22"/>
        </w:rPr>
        <w:t>5</w:t>
      </w:r>
      <w:r w:rsidR="008B780C">
        <w:rPr>
          <w:sz w:val="22"/>
          <w:szCs w:val="22"/>
        </w:rPr>
        <w:t>% lower than for those who are not disabled.  Conversely, the percentage o</w:t>
      </w:r>
      <w:r w:rsidR="005C3AFB">
        <w:rPr>
          <w:sz w:val="22"/>
          <w:szCs w:val="22"/>
        </w:rPr>
        <w:t>f</w:t>
      </w:r>
      <w:r w:rsidR="004B051F">
        <w:rPr>
          <w:sz w:val="22"/>
          <w:szCs w:val="22"/>
        </w:rPr>
        <w:t xml:space="preserve"> </w:t>
      </w:r>
      <w:r w:rsidR="005C3AFB">
        <w:rPr>
          <w:sz w:val="22"/>
          <w:szCs w:val="22"/>
        </w:rPr>
        <w:t xml:space="preserve">persons who are disabled </w:t>
      </w:r>
      <w:r w:rsidR="005C3AFB">
        <w:rPr>
          <w:sz w:val="22"/>
          <w:szCs w:val="22"/>
        </w:rPr>
        <w:lastRenderedPageBreak/>
        <w:t xml:space="preserve">engaged in </w:t>
      </w:r>
      <w:r w:rsidR="0006071F">
        <w:rPr>
          <w:sz w:val="22"/>
          <w:szCs w:val="22"/>
        </w:rPr>
        <w:t xml:space="preserve">Support Services, Medical &amp; Dental Support and Allied Health Profession roles </w:t>
      </w:r>
      <w:r w:rsidR="005C3AFB">
        <w:rPr>
          <w:sz w:val="22"/>
          <w:szCs w:val="22"/>
        </w:rPr>
        <w:t xml:space="preserve">are higher by </w:t>
      </w:r>
      <w:r w:rsidR="0006071F">
        <w:rPr>
          <w:sz w:val="22"/>
          <w:szCs w:val="22"/>
        </w:rPr>
        <w:t>3.1</w:t>
      </w:r>
      <w:r w:rsidR="005C3AFB">
        <w:rPr>
          <w:sz w:val="22"/>
          <w:szCs w:val="22"/>
        </w:rPr>
        <w:t xml:space="preserve">%, </w:t>
      </w:r>
      <w:r w:rsidR="0006071F">
        <w:rPr>
          <w:sz w:val="22"/>
          <w:szCs w:val="22"/>
        </w:rPr>
        <w:t>1.6</w:t>
      </w:r>
      <w:r w:rsidR="005C3AFB">
        <w:rPr>
          <w:sz w:val="22"/>
          <w:szCs w:val="22"/>
        </w:rPr>
        <w:t xml:space="preserve">% and </w:t>
      </w:r>
      <w:r w:rsidR="0006071F">
        <w:rPr>
          <w:sz w:val="22"/>
          <w:szCs w:val="22"/>
        </w:rPr>
        <w:t>0.9</w:t>
      </w:r>
      <w:r w:rsidR="005C3AFB">
        <w:rPr>
          <w:sz w:val="22"/>
          <w:szCs w:val="22"/>
        </w:rPr>
        <w:t>% respectively.</w:t>
      </w:r>
    </w:p>
    <w:p w:rsidR="003F2646" w:rsidRPr="005E32A6" w:rsidRDefault="005C3AFB" w:rsidP="005E32A6">
      <w:pPr>
        <w:numPr>
          <w:ilvl w:val="0"/>
          <w:numId w:val="2"/>
        </w:numPr>
        <w:spacing w:after="200" w:line="276" w:lineRule="auto"/>
        <w:jc w:val="both"/>
        <w:rPr>
          <w:sz w:val="22"/>
          <w:szCs w:val="22"/>
        </w:rPr>
      </w:pPr>
      <w:r>
        <w:rPr>
          <w:sz w:val="22"/>
          <w:szCs w:val="22"/>
        </w:rPr>
        <w:t>7</w:t>
      </w:r>
      <w:r w:rsidR="005E32A6">
        <w:rPr>
          <w:sz w:val="22"/>
          <w:szCs w:val="22"/>
        </w:rPr>
        <w:t>5.0</w:t>
      </w:r>
      <w:r>
        <w:rPr>
          <w:sz w:val="22"/>
          <w:szCs w:val="22"/>
        </w:rPr>
        <w:t>% of disabled persons are engaged within clinical job families compared to 74.</w:t>
      </w:r>
      <w:r w:rsidR="005E32A6">
        <w:rPr>
          <w:sz w:val="22"/>
          <w:szCs w:val="22"/>
        </w:rPr>
        <w:t>5</w:t>
      </w:r>
      <w:r>
        <w:rPr>
          <w:sz w:val="22"/>
          <w:szCs w:val="22"/>
        </w:rPr>
        <w:t>% of people who are not.  6</w:t>
      </w:r>
      <w:r w:rsidR="005E32A6">
        <w:rPr>
          <w:sz w:val="22"/>
          <w:szCs w:val="22"/>
        </w:rPr>
        <w:t>5.9</w:t>
      </w:r>
      <w:r>
        <w:rPr>
          <w:sz w:val="22"/>
          <w:szCs w:val="22"/>
        </w:rPr>
        <w:t xml:space="preserve">% of disabled persons are engaged within </w:t>
      </w:r>
      <w:r w:rsidR="003F2646">
        <w:rPr>
          <w:sz w:val="22"/>
          <w:szCs w:val="22"/>
        </w:rPr>
        <w:t xml:space="preserve">professional roles remunerated on Agenda for Change Band 5 or above, compared to </w:t>
      </w:r>
      <w:r w:rsidR="005E32A6">
        <w:rPr>
          <w:sz w:val="22"/>
          <w:szCs w:val="22"/>
        </w:rPr>
        <w:t>60.4</w:t>
      </w:r>
      <w:r w:rsidR="003F2646" w:rsidRPr="005E32A6">
        <w:rPr>
          <w:sz w:val="22"/>
          <w:szCs w:val="22"/>
        </w:rPr>
        <w:t>% of people who are not.</w:t>
      </w:r>
    </w:p>
    <w:p w:rsidR="000F2632" w:rsidRDefault="000F2632" w:rsidP="003A5A55">
      <w:pPr>
        <w:spacing w:after="200" w:line="276" w:lineRule="auto"/>
        <w:jc w:val="center"/>
        <w:rPr>
          <w:sz w:val="22"/>
          <w:szCs w:val="22"/>
        </w:rPr>
      </w:pPr>
    </w:p>
    <w:p w:rsidR="003A5A55" w:rsidRDefault="003A5A55" w:rsidP="003A5A55">
      <w:pPr>
        <w:spacing w:after="200" w:line="276" w:lineRule="auto"/>
        <w:jc w:val="center"/>
        <w:rPr>
          <w:sz w:val="22"/>
          <w:szCs w:val="22"/>
        </w:rPr>
      </w:pPr>
      <w:r>
        <w:rPr>
          <w:sz w:val="22"/>
          <w:szCs w:val="22"/>
        </w:rPr>
        <w:t>Gender</w:t>
      </w:r>
    </w:p>
    <w:p w:rsidR="003A5A55" w:rsidRDefault="003F2646" w:rsidP="007C0D86">
      <w:pPr>
        <w:numPr>
          <w:ilvl w:val="0"/>
          <w:numId w:val="2"/>
        </w:numPr>
        <w:spacing w:after="200" w:line="276" w:lineRule="auto"/>
        <w:jc w:val="both"/>
        <w:rPr>
          <w:sz w:val="22"/>
          <w:szCs w:val="22"/>
        </w:rPr>
      </w:pPr>
      <w:r>
        <w:rPr>
          <w:sz w:val="22"/>
          <w:szCs w:val="22"/>
        </w:rPr>
        <w:t>85.</w:t>
      </w:r>
      <w:r w:rsidR="00E04E9A">
        <w:rPr>
          <w:sz w:val="22"/>
          <w:szCs w:val="22"/>
        </w:rPr>
        <w:t>4</w:t>
      </w:r>
      <w:r>
        <w:rPr>
          <w:sz w:val="22"/>
          <w:szCs w:val="22"/>
        </w:rPr>
        <w:t xml:space="preserve">% of the </w:t>
      </w:r>
      <w:r w:rsidR="00C41575">
        <w:rPr>
          <w:sz w:val="22"/>
          <w:szCs w:val="22"/>
        </w:rPr>
        <w:t xml:space="preserve">NHS Fife </w:t>
      </w:r>
      <w:r>
        <w:rPr>
          <w:sz w:val="22"/>
          <w:szCs w:val="22"/>
        </w:rPr>
        <w:t>workforce is female.  The pay gap between female and male employees is 19.</w:t>
      </w:r>
      <w:r w:rsidR="00E04E9A">
        <w:rPr>
          <w:sz w:val="22"/>
          <w:szCs w:val="22"/>
        </w:rPr>
        <w:t>4</w:t>
      </w:r>
      <w:r>
        <w:rPr>
          <w:sz w:val="22"/>
          <w:szCs w:val="22"/>
        </w:rPr>
        <w:t>%</w:t>
      </w:r>
      <w:r w:rsidR="001A5791">
        <w:rPr>
          <w:sz w:val="22"/>
          <w:szCs w:val="22"/>
        </w:rPr>
        <w:t xml:space="preserve">, reducing to </w:t>
      </w:r>
      <w:r w:rsidR="00E04E9A">
        <w:rPr>
          <w:sz w:val="22"/>
          <w:szCs w:val="22"/>
        </w:rPr>
        <w:t>11.9</w:t>
      </w:r>
      <w:r w:rsidR="004B051F">
        <w:rPr>
          <w:sz w:val="22"/>
          <w:szCs w:val="22"/>
        </w:rPr>
        <w:t xml:space="preserve">% when </w:t>
      </w:r>
      <w:r w:rsidR="001A5791">
        <w:rPr>
          <w:sz w:val="22"/>
          <w:szCs w:val="22"/>
        </w:rPr>
        <w:t xml:space="preserve">the pay gap is </w:t>
      </w:r>
      <w:r w:rsidR="004B051F">
        <w:rPr>
          <w:sz w:val="22"/>
          <w:szCs w:val="22"/>
        </w:rPr>
        <w:t>based on the median value</w:t>
      </w:r>
      <w:r>
        <w:rPr>
          <w:sz w:val="22"/>
          <w:szCs w:val="22"/>
        </w:rPr>
        <w:t xml:space="preserve">.  </w:t>
      </w:r>
      <w:r w:rsidR="00632C6B" w:rsidRPr="003A5A55">
        <w:rPr>
          <w:sz w:val="22"/>
          <w:szCs w:val="22"/>
        </w:rPr>
        <w:t xml:space="preserve">The gender pay gap is influenced by occupational segregation factors.  </w:t>
      </w:r>
      <w:r w:rsidR="007C0D86" w:rsidRPr="003A5A55">
        <w:rPr>
          <w:sz w:val="22"/>
          <w:szCs w:val="22"/>
        </w:rPr>
        <w:t xml:space="preserve">Medical and Dental </w:t>
      </w:r>
      <w:r w:rsidR="003A5A55" w:rsidRPr="003A5A55">
        <w:rPr>
          <w:sz w:val="22"/>
          <w:szCs w:val="22"/>
        </w:rPr>
        <w:t xml:space="preserve">plus </w:t>
      </w:r>
      <w:r w:rsidR="007C0D86" w:rsidRPr="003A5A55">
        <w:rPr>
          <w:sz w:val="22"/>
          <w:szCs w:val="22"/>
        </w:rPr>
        <w:t xml:space="preserve">Executive / Senior Manager </w:t>
      </w:r>
      <w:r w:rsidR="003A5A55" w:rsidRPr="003A5A55">
        <w:rPr>
          <w:sz w:val="22"/>
          <w:szCs w:val="22"/>
        </w:rPr>
        <w:t>Pay G</w:t>
      </w:r>
      <w:r w:rsidR="007C0D86" w:rsidRPr="003A5A55">
        <w:rPr>
          <w:sz w:val="22"/>
          <w:szCs w:val="22"/>
        </w:rPr>
        <w:t>rades are typically remunerated at higher hourly rates when compared to the Agenda for Change Pay Bands</w:t>
      </w:r>
      <w:r w:rsidR="003A5A55" w:rsidRPr="003A5A55">
        <w:rPr>
          <w:sz w:val="22"/>
          <w:szCs w:val="22"/>
        </w:rPr>
        <w:t>.  A</w:t>
      </w:r>
      <w:r w:rsidR="007C0D86" w:rsidRPr="003A5A55">
        <w:rPr>
          <w:sz w:val="22"/>
          <w:szCs w:val="22"/>
        </w:rPr>
        <w:t xml:space="preserve">lthough there </w:t>
      </w:r>
      <w:r w:rsidR="00790A17" w:rsidRPr="003A5A55">
        <w:rPr>
          <w:sz w:val="22"/>
          <w:szCs w:val="22"/>
        </w:rPr>
        <w:t>are</w:t>
      </w:r>
      <w:r w:rsidR="007C0D86" w:rsidRPr="003A5A55">
        <w:rPr>
          <w:sz w:val="22"/>
          <w:szCs w:val="22"/>
        </w:rPr>
        <w:t xml:space="preserve"> a greater proportion of female employees engaged in these job categories </w:t>
      </w:r>
      <w:r w:rsidR="00906AB3" w:rsidRPr="003A5A55">
        <w:rPr>
          <w:sz w:val="22"/>
          <w:szCs w:val="22"/>
        </w:rPr>
        <w:t xml:space="preserve">when </w:t>
      </w:r>
      <w:r w:rsidR="007C0D86" w:rsidRPr="003A5A55">
        <w:rPr>
          <w:sz w:val="22"/>
          <w:szCs w:val="22"/>
        </w:rPr>
        <w:t xml:space="preserve">compared to male employees, </w:t>
      </w:r>
      <w:r w:rsidR="004C47B4">
        <w:rPr>
          <w:sz w:val="22"/>
          <w:szCs w:val="22"/>
        </w:rPr>
        <w:t xml:space="preserve">as shown in the diagram below, </w:t>
      </w:r>
      <w:r w:rsidR="003A5A55" w:rsidRPr="003A5A55">
        <w:rPr>
          <w:sz w:val="22"/>
          <w:szCs w:val="22"/>
        </w:rPr>
        <w:t xml:space="preserve">females employed in these </w:t>
      </w:r>
      <w:r>
        <w:rPr>
          <w:sz w:val="22"/>
          <w:szCs w:val="22"/>
        </w:rPr>
        <w:t xml:space="preserve">job categories </w:t>
      </w:r>
      <w:r w:rsidR="003A5A55" w:rsidRPr="003A5A55">
        <w:rPr>
          <w:sz w:val="22"/>
          <w:szCs w:val="22"/>
        </w:rPr>
        <w:t xml:space="preserve">account for a smaller proportion of the total </w:t>
      </w:r>
      <w:r w:rsidR="00831878">
        <w:rPr>
          <w:sz w:val="22"/>
          <w:szCs w:val="22"/>
        </w:rPr>
        <w:t xml:space="preserve">female </w:t>
      </w:r>
      <w:r w:rsidR="003A5A55" w:rsidRPr="003A5A55">
        <w:rPr>
          <w:sz w:val="22"/>
          <w:szCs w:val="22"/>
        </w:rPr>
        <w:t>workforce.  Consequently, th</w:t>
      </w:r>
      <w:r w:rsidR="004B051F">
        <w:rPr>
          <w:sz w:val="22"/>
          <w:szCs w:val="22"/>
        </w:rPr>
        <w:t xml:space="preserve">is has a </w:t>
      </w:r>
      <w:r w:rsidR="000B3717">
        <w:rPr>
          <w:sz w:val="22"/>
          <w:szCs w:val="22"/>
        </w:rPr>
        <w:t xml:space="preserve">minimal </w:t>
      </w:r>
      <w:r w:rsidR="003A5A55" w:rsidRPr="003A5A55">
        <w:rPr>
          <w:sz w:val="22"/>
          <w:szCs w:val="22"/>
        </w:rPr>
        <w:t xml:space="preserve">impact on </w:t>
      </w:r>
      <w:r w:rsidR="004B051F">
        <w:rPr>
          <w:sz w:val="22"/>
          <w:szCs w:val="22"/>
        </w:rPr>
        <w:t xml:space="preserve">increasing </w:t>
      </w:r>
      <w:r w:rsidR="003A5A55" w:rsidRPr="003A5A55">
        <w:rPr>
          <w:sz w:val="22"/>
          <w:szCs w:val="22"/>
        </w:rPr>
        <w:t>the average hourly rate of female employees.</w:t>
      </w:r>
    </w:p>
    <w:p w:rsidR="004C47B4" w:rsidRDefault="00263712" w:rsidP="004C47B4">
      <w:pPr>
        <w:spacing w:after="200" w:line="276" w:lineRule="auto"/>
        <w:ind w:left="357" w:firstLine="363"/>
        <w:jc w:val="both"/>
        <w:rPr>
          <w:sz w:val="22"/>
          <w:szCs w:val="22"/>
        </w:rPr>
      </w:pPr>
      <w:r>
        <w:rPr>
          <w:noProof/>
          <w:sz w:val="22"/>
          <w:szCs w:val="22"/>
          <w:lang w:eastAsia="en-GB"/>
        </w:rPr>
        <w:drawing>
          <wp:inline distT="0" distB="0" distL="0" distR="0">
            <wp:extent cx="5363936" cy="2612572"/>
            <wp:effectExtent l="19050" t="0" r="81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63752" cy="2612482"/>
                    </a:xfrm>
                    <a:prstGeom prst="rect">
                      <a:avLst/>
                    </a:prstGeom>
                    <a:noFill/>
                    <a:ln w="9525">
                      <a:noFill/>
                      <a:miter lim="800000"/>
                      <a:headEnd/>
                      <a:tailEnd/>
                    </a:ln>
                  </pic:spPr>
                </pic:pic>
              </a:graphicData>
            </a:graphic>
          </wp:inline>
        </w:drawing>
      </w:r>
    </w:p>
    <w:p w:rsidR="0094353A" w:rsidRPr="003A5A55" w:rsidRDefault="00933356" w:rsidP="0094353A">
      <w:pPr>
        <w:numPr>
          <w:ilvl w:val="0"/>
          <w:numId w:val="2"/>
        </w:numPr>
        <w:spacing w:after="200" w:line="276" w:lineRule="auto"/>
        <w:jc w:val="both"/>
        <w:rPr>
          <w:sz w:val="22"/>
          <w:szCs w:val="22"/>
        </w:rPr>
      </w:pPr>
      <w:r w:rsidRPr="003A5A55">
        <w:rPr>
          <w:sz w:val="22"/>
          <w:szCs w:val="22"/>
        </w:rPr>
        <w:t xml:space="preserve">There </w:t>
      </w:r>
      <w:r w:rsidR="00D4257B" w:rsidRPr="003A5A55">
        <w:rPr>
          <w:sz w:val="22"/>
          <w:szCs w:val="22"/>
        </w:rPr>
        <w:t>are</w:t>
      </w:r>
      <w:r w:rsidRPr="003A5A55">
        <w:rPr>
          <w:sz w:val="22"/>
          <w:szCs w:val="22"/>
        </w:rPr>
        <w:t xml:space="preserve"> </w:t>
      </w:r>
      <w:r w:rsidR="00BB44FA" w:rsidRPr="003A5A55">
        <w:rPr>
          <w:sz w:val="22"/>
          <w:szCs w:val="22"/>
        </w:rPr>
        <w:t xml:space="preserve">variations </w:t>
      </w:r>
      <w:r w:rsidRPr="003A5A55">
        <w:rPr>
          <w:sz w:val="22"/>
          <w:szCs w:val="22"/>
        </w:rPr>
        <w:t xml:space="preserve">in the gender breakdown of the workforce </w:t>
      </w:r>
      <w:r w:rsidR="00BB44FA" w:rsidRPr="003A5A55">
        <w:rPr>
          <w:sz w:val="22"/>
          <w:szCs w:val="22"/>
        </w:rPr>
        <w:t xml:space="preserve">within </w:t>
      </w:r>
      <w:r w:rsidR="00183E63" w:rsidRPr="003A5A55">
        <w:rPr>
          <w:sz w:val="22"/>
          <w:szCs w:val="22"/>
        </w:rPr>
        <w:t xml:space="preserve">individual </w:t>
      </w:r>
      <w:r w:rsidR="00BB44FA" w:rsidRPr="003A5A55">
        <w:rPr>
          <w:sz w:val="22"/>
          <w:szCs w:val="22"/>
        </w:rPr>
        <w:t>Job Famil</w:t>
      </w:r>
      <w:r w:rsidR="00821AB1">
        <w:rPr>
          <w:sz w:val="22"/>
          <w:szCs w:val="22"/>
        </w:rPr>
        <w:t>ies</w:t>
      </w:r>
      <w:r w:rsidR="00BB44FA" w:rsidRPr="003A5A55">
        <w:rPr>
          <w:sz w:val="22"/>
          <w:szCs w:val="22"/>
        </w:rPr>
        <w:t xml:space="preserve">.  For example, in </w:t>
      </w:r>
      <w:r w:rsidR="00183E63" w:rsidRPr="003A5A55">
        <w:rPr>
          <w:sz w:val="22"/>
          <w:szCs w:val="22"/>
        </w:rPr>
        <w:t>N</w:t>
      </w:r>
      <w:r w:rsidR="00BB44FA" w:rsidRPr="003A5A55">
        <w:rPr>
          <w:sz w:val="22"/>
          <w:szCs w:val="22"/>
        </w:rPr>
        <w:t xml:space="preserve">ursing &amp; </w:t>
      </w:r>
      <w:r w:rsidR="00183E63" w:rsidRPr="003A5A55">
        <w:rPr>
          <w:sz w:val="22"/>
          <w:szCs w:val="22"/>
        </w:rPr>
        <w:t>M</w:t>
      </w:r>
      <w:r w:rsidR="00BB44FA" w:rsidRPr="003A5A55">
        <w:rPr>
          <w:sz w:val="22"/>
          <w:szCs w:val="22"/>
        </w:rPr>
        <w:t>idwifery roles</w:t>
      </w:r>
      <w:r w:rsidR="006941D1">
        <w:rPr>
          <w:sz w:val="22"/>
          <w:szCs w:val="22"/>
        </w:rPr>
        <w:t>,</w:t>
      </w:r>
      <w:r w:rsidR="00BB44FA" w:rsidRPr="003A5A55">
        <w:rPr>
          <w:sz w:val="22"/>
          <w:szCs w:val="22"/>
        </w:rPr>
        <w:t xml:space="preserve"> female employees account for 9</w:t>
      </w:r>
      <w:r w:rsidR="00821AB1">
        <w:rPr>
          <w:sz w:val="22"/>
          <w:szCs w:val="22"/>
        </w:rPr>
        <w:t>3.0</w:t>
      </w:r>
      <w:r w:rsidR="00BB44FA" w:rsidRPr="003A5A55">
        <w:rPr>
          <w:sz w:val="22"/>
          <w:szCs w:val="22"/>
        </w:rPr>
        <w:t xml:space="preserve">% of the job family, and in </w:t>
      </w:r>
      <w:r w:rsidR="00183E63" w:rsidRPr="003A5A55">
        <w:rPr>
          <w:sz w:val="22"/>
          <w:szCs w:val="22"/>
        </w:rPr>
        <w:t>A</w:t>
      </w:r>
      <w:r w:rsidR="00821AB1">
        <w:rPr>
          <w:sz w:val="22"/>
          <w:szCs w:val="22"/>
        </w:rPr>
        <w:t xml:space="preserve">dministrative Services </w:t>
      </w:r>
      <w:r w:rsidR="00BB44FA" w:rsidRPr="003A5A55">
        <w:rPr>
          <w:sz w:val="22"/>
          <w:szCs w:val="22"/>
        </w:rPr>
        <w:t xml:space="preserve">roles </w:t>
      </w:r>
      <w:r w:rsidR="003432B6">
        <w:rPr>
          <w:sz w:val="22"/>
          <w:szCs w:val="22"/>
        </w:rPr>
        <w:t>female employees’ account for 8</w:t>
      </w:r>
      <w:r w:rsidR="00821AB1">
        <w:rPr>
          <w:sz w:val="22"/>
          <w:szCs w:val="22"/>
        </w:rPr>
        <w:t>8.0</w:t>
      </w:r>
      <w:r w:rsidR="00BB44FA" w:rsidRPr="003A5A55">
        <w:rPr>
          <w:sz w:val="22"/>
          <w:szCs w:val="22"/>
        </w:rPr>
        <w:t>% of the job family.  These percentages reduce within Healthcare Sciences (</w:t>
      </w:r>
      <w:r w:rsidR="00821AB1">
        <w:rPr>
          <w:sz w:val="22"/>
          <w:szCs w:val="22"/>
        </w:rPr>
        <w:t>70.1</w:t>
      </w:r>
      <w:r w:rsidR="00BB44FA" w:rsidRPr="003A5A55">
        <w:rPr>
          <w:sz w:val="22"/>
          <w:szCs w:val="22"/>
        </w:rPr>
        <w:t>%) and Medical and Dental (5</w:t>
      </w:r>
      <w:r w:rsidR="00821AB1">
        <w:rPr>
          <w:sz w:val="22"/>
          <w:szCs w:val="22"/>
        </w:rPr>
        <w:t>3.2</w:t>
      </w:r>
      <w:r w:rsidR="00BB44FA" w:rsidRPr="003A5A55">
        <w:rPr>
          <w:sz w:val="22"/>
          <w:szCs w:val="22"/>
        </w:rPr>
        <w:t>%)</w:t>
      </w:r>
      <w:r w:rsidR="00183E63" w:rsidRPr="003A5A55">
        <w:rPr>
          <w:sz w:val="22"/>
          <w:szCs w:val="22"/>
        </w:rPr>
        <w:t xml:space="preserve"> roles</w:t>
      </w:r>
      <w:r w:rsidR="00BB44FA" w:rsidRPr="003A5A55">
        <w:rPr>
          <w:sz w:val="22"/>
          <w:szCs w:val="22"/>
        </w:rPr>
        <w:t>, where there is a higher concentration of male employees.</w:t>
      </w:r>
    </w:p>
    <w:p w:rsidR="007F5963" w:rsidRDefault="007F5963" w:rsidP="007F5963">
      <w:pPr>
        <w:numPr>
          <w:ilvl w:val="0"/>
          <w:numId w:val="2"/>
        </w:numPr>
        <w:spacing w:after="200" w:line="276" w:lineRule="auto"/>
        <w:jc w:val="both"/>
        <w:rPr>
          <w:sz w:val="22"/>
          <w:szCs w:val="22"/>
        </w:rPr>
      </w:pPr>
      <w:r>
        <w:rPr>
          <w:sz w:val="22"/>
          <w:szCs w:val="22"/>
        </w:rPr>
        <w:t>There is a greater concentration of female employees engage</w:t>
      </w:r>
      <w:r w:rsidR="00C41575">
        <w:rPr>
          <w:sz w:val="22"/>
          <w:szCs w:val="22"/>
        </w:rPr>
        <w:t>d</w:t>
      </w:r>
      <w:r>
        <w:rPr>
          <w:sz w:val="22"/>
          <w:szCs w:val="22"/>
        </w:rPr>
        <w:t xml:space="preserve"> within clinical job families.  7</w:t>
      </w:r>
      <w:r w:rsidR="00821AB1">
        <w:rPr>
          <w:sz w:val="22"/>
          <w:szCs w:val="22"/>
        </w:rPr>
        <w:t>3.0</w:t>
      </w:r>
      <w:r>
        <w:rPr>
          <w:sz w:val="22"/>
          <w:szCs w:val="22"/>
        </w:rPr>
        <w:t>% of females are engaged within such job families compared to 5</w:t>
      </w:r>
      <w:r w:rsidR="00821AB1">
        <w:rPr>
          <w:sz w:val="22"/>
          <w:szCs w:val="22"/>
        </w:rPr>
        <w:t>9.0</w:t>
      </w:r>
      <w:r w:rsidR="00507515">
        <w:rPr>
          <w:sz w:val="22"/>
          <w:szCs w:val="22"/>
        </w:rPr>
        <w:t>% of males.  57.3</w:t>
      </w:r>
      <w:r>
        <w:rPr>
          <w:sz w:val="22"/>
          <w:szCs w:val="22"/>
        </w:rPr>
        <w:t>% of females are engaged within professional roles remunerated on Agenda for Change Band 5 or above, compared to 5</w:t>
      </w:r>
      <w:r w:rsidR="00507515">
        <w:rPr>
          <w:sz w:val="22"/>
          <w:szCs w:val="22"/>
        </w:rPr>
        <w:t>7.6</w:t>
      </w:r>
      <w:r>
        <w:rPr>
          <w:sz w:val="22"/>
          <w:szCs w:val="22"/>
        </w:rPr>
        <w:t>% of males.</w:t>
      </w:r>
    </w:p>
    <w:p w:rsidR="004B051F" w:rsidRDefault="00821AB1" w:rsidP="007F5963">
      <w:pPr>
        <w:numPr>
          <w:ilvl w:val="0"/>
          <w:numId w:val="2"/>
        </w:numPr>
        <w:spacing w:after="200" w:line="276" w:lineRule="auto"/>
        <w:jc w:val="both"/>
        <w:rPr>
          <w:sz w:val="22"/>
          <w:szCs w:val="22"/>
        </w:rPr>
      </w:pPr>
      <w:r>
        <w:rPr>
          <w:sz w:val="22"/>
          <w:szCs w:val="22"/>
        </w:rPr>
        <w:lastRenderedPageBreak/>
        <w:t>The results of the 2021</w:t>
      </w:r>
      <w:r w:rsidR="004B051F">
        <w:rPr>
          <w:sz w:val="22"/>
          <w:szCs w:val="22"/>
        </w:rPr>
        <w:t xml:space="preserve"> Gender</w:t>
      </w:r>
      <w:r w:rsidR="00C41575">
        <w:rPr>
          <w:sz w:val="22"/>
          <w:szCs w:val="22"/>
        </w:rPr>
        <w:t xml:space="preserve"> Pay Audit are provided in the A</w:t>
      </w:r>
      <w:r w:rsidR="004B051F">
        <w:rPr>
          <w:sz w:val="22"/>
          <w:szCs w:val="22"/>
        </w:rPr>
        <w:t>ppendix to this report.</w:t>
      </w:r>
    </w:p>
    <w:p w:rsidR="007F5963" w:rsidRDefault="007F5963" w:rsidP="007F5963">
      <w:pPr>
        <w:spacing w:after="200" w:line="276" w:lineRule="auto"/>
        <w:jc w:val="center"/>
        <w:rPr>
          <w:sz w:val="22"/>
          <w:szCs w:val="22"/>
        </w:rPr>
      </w:pPr>
    </w:p>
    <w:p w:rsidR="009C18A1" w:rsidRDefault="009C18A1" w:rsidP="007F5963">
      <w:pPr>
        <w:spacing w:after="200" w:line="276" w:lineRule="auto"/>
        <w:jc w:val="center"/>
        <w:rPr>
          <w:sz w:val="22"/>
          <w:szCs w:val="22"/>
        </w:rPr>
      </w:pPr>
    </w:p>
    <w:p w:rsidR="007F5963" w:rsidRDefault="007F5963" w:rsidP="007F5963">
      <w:pPr>
        <w:spacing w:after="200" w:line="276" w:lineRule="auto"/>
        <w:jc w:val="center"/>
        <w:rPr>
          <w:sz w:val="22"/>
          <w:szCs w:val="22"/>
        </w:rPr>
      </w:pPr>
      <w:r>
        <w:rPr>
          <w:sz w:val="22"/>
          <w:szCs w:val="22"/>
        </w:rPr>
        <w:t>Race</w:t>
      </w:r>
    </w:p>
    <w:p w:rsidR="00061074" w:rsidRDefault="00061074" w:rsidP="0094353A">
      <w:pPr>
        <w:numPr>
          <w:ilvl w:val="0"/>
          <w:numId w:val="2"/>
        </w:numPr>
        <w:spacing w:after="200" w:line="276" w:lineRule="auto"/>
        <w:jc w:val="both"/>
        <w:rPr>
          <w:sz w:val="22"/>
          <w:szCs w:val="22"/>
        </w:rPr>
      </w:pPr>
      <w:r w:rsidRPr="003A5A55">
        <w:rPr>
          <w:sz w:val="22"/>
          <w:szCs w:val="22"/>
        </w:rPr>
        <w:t>1.</w:t>
      </w:r>
      <w:r w:rsidR="007041D7">
        <w:rPr>
          <w:sz w:val="22"/>
          <w:szCs w:val="22"/>
        </w:rPr>
        <w:t>8</w:t>
      </w:r>
      <w:r w:rsidRPr="003A5A55">
        <w:rPr>
          <w:sz w:val="22"/>
          <w:szCs w:val="22"/>
        </w:rPr>
        <w:t xml:space="preserve">% of </w:t>
      </w:r>
      <w:r w:rsidR="006941D1">
        <w:rPr>
          <w:sz w:val="22"/>
          <w:szCs w:val="22"/>
        </w:rPr>
        <w:t>the NHS Fife</w:t>
      </w:r>
      <w:r w:rsidRPr="003A5A55">
        <w:rPr>
          <w:sz w:val="22"/>
          <w:szCs w:val="22"/>
        </w:rPr>
        <w:t xml:space="preserve"> workforce</w:t>
      </w:r>
      <w:r w:rsidR="00071887" w:rsidRPr="003A5A55">
        <w:rPr>
          <w:sz w:val="22"/>
          <w:szCs w:val="22"/>
        </w:rPr>
        <w:t xml:space="preserve"> has confirmed they are from a non-white racial group.  This group of staff </w:t>
      </w:r>
      <w:r w:rsidR="00D57806">
        <w:rPr>
          <w:sz w:val="22"/>
          <w:szCs w:val="22"/>
        </w:rPr>
        <w:t>is described as a m</w:t>
      </w:r>
      <w:r w:rsidR="00071887" w:rsidRPr="003A5A55">
        <w:rPr>
          <w:sz w:val="22"/>
          <w:szCs w:val="22"/>
        </w:rPr>
        <w:t xml:space="preserve">inority racial group for the purposes of determining Occupational Segregation.  </w:t>
      </w:r>
      <w:r w:rsidR="00A81670">
        <w:rPr>
          <w:sz w:val="22"/>
          <w:szCs w:val="22"/>
        </w:rPr>
        <w:t xml:space="preserve">The pay gap between persons identified as being from </w:t>
      </w:r>
      <w:r w:rsidR="00D57806">
        <w:rPr>
          <w:sz w:val="22"/>
          <w:szCs w:val="22"/>
        </w:rPr>
        <w:t xml:space="preserve">a </w:t>
      </w:r>
      <w:r w:rsidR="00A81670">
        <w:rPr>
          <w:sz w:val="22"/>
          <w:szCs w:val="22"/>
        </w:rPr>
        <w:t xml:space="preserve">minority </w:t>
      </w:r>
      <w:r w:rsidR="00D57806">
        <w:rPr>
          <w:sz w:val="22"/>
          <w:szCs w:val="22"/>
        </w:rPr>
        <w:t xml:space="preserve">racial </w:t>
      </w:r>
      <w:r w:rsidR="00A81670">
        <w:rPr>
          <w:sz w:val="22"/>
          <w:szCs w:val="22"/>
        </w:rPr>
        <w:t xml:space="preserve">group and persons who are not is </w:t>
      </w:r>
      <w:r w:rsidR="007041D7">
        <w:rPr>
          <w:sz w:val="22"/>
          <w:szCs w:val="22"/>
        </w:rPr>
        <w:t>28.3</w:t>
      </w:r>
      <w:r w:rsidR="00A81670">
        <w:rPr>
          <w:sz w:val="22"/>
          <w:szCs w:val="22"/>
        </w:rPr>
        <w:t>%</w:t>
      </w:r>
      <w:r w:rsidR="007041D7">
        <w:rPr>
          <w:sz w:val="22"/>
          <w:szCs w:val="22"/>
        </w:rPr>
        <w:t xml:space="preserve"> in favour of those from a minority racial group</w:t>
      </w:r>
      <w:r w:rsidR="00D57806">
        <w:rPr>
          <w:sz w:val="22"/>
          <w:szCs w:val="22"/>
        </w:rPr>
        <w:t xml:space="preserve">.  When </w:t>
      </w:r>
      <w:r w:rsidR="00A81670">
        <w:rPr>
          <w:sz w:val="22"/>
          <w:szCs w:val="22"/>
        </w:rPr>
        <w:t xml:space="preserve">this is calculated on the median </w:t>
      </w:r>
      <w:r w:rsidR="00D57806">
        <w:rPr>
          <w:sz w:val="22"/>
          <w:szCs w:val="22"/>
        </w:rPr>
        <w:t>value</w:t>
      </w:r>
      <w:r w:rsidR="007041D7">
        <w:rPr>
          <w:sz w:val="22"/>
          <w:szCs w:val="22"/>
        </w:rPr>
        <w:t xml:space="preserve"> this pay gap reverses to 0.0%.</w:t>
      </w:r>
    </w:p>
    <w:p w:rsidR="0094353A" w:rsidRPr="00507515" w:rsidRDefault="00A81670" w:rsidP="0094353A">
      <w:pPr>
        <w:numPr>
          <w:ilvl w:val="0"/>
          <w:numId w:val="2"/>
        </w:numPr>
        <w:spacing w:after="200" w:line="276" w:lineRule="auto"/>
        <w:jc w:val="both"/>
        <w:rPr>
          <w:sz w:val="22"/>
          <w:szCs w:val="22"/>
        </w:rPr>
      </w:pPr>
      <w:r w:rsidRPr="000B3717">
        <w:rPr>
          <w:sz w:val="22"/>
          <w:szCs w:val="22"/>
        </w:rPr>
        <w:t>Th</w:t>
      </w:r>
      <w:r w:rsidR="00720EA5">
        <w:rPr>
          <w:sz w:val="22"/>
          <w:szCs w:val="22"/>
        </w:rPr>
        <w:t>ere</w:t>
      </w:r>
      <w:r w:rsidRPr="000B3717">
        <w:rPr>
          <w:sz w:val="22"/>
          <w:szCs w:val="22"/>
        </w:rPr>
        <w:t xml:space="preserve"> is a greater concentration of persons from a minority group engaged within clinical job families.  8</w:t>
      </w:r>
      <w:r w:rsidR="007041D7">
        <w:rPr>
          <w:sz w:val="22"/>
          <w:szCs w:val="22"/>
        </w:rPr>
        <w:t>5.7</w:t>
      </w:r>
      <w:r w:rsidRPr="000B3717">
        <w:rPr>
          <w:sz w:val="22"/>
          <w:szCs w:val="22"/>
        </w:rPr>
        <w:t xml:space="preserve">% of persons from a minority </w:t>
      </w:r>
      <w:r w:rsidRPr="00E04E9A">
        <w:rPr>
          <w:sz w:val="22"/>
          <w:szCs w:val="22"/>
        </w:rPr>
        <w:t>group are engaged within such job families compared to 70.4% of persons who are not.  Similarly, 7</w:t>
      </w:r>
      <w:r w:rsidR="00E04E9A" w:rsidRPr="00E04E9A">
        <w:rPr>
          <w:sz w:val="22"/>
          <w:szCs w:val="22"/>
        </w:rPr>
        <w:t>5.6</w:t>
      </w:r>
      <w:r w:rsidRPr="00E04E9A">
        <w:rPr>
          <w:sz w:val="22"/>
          <w:szCs w:val="22"/>
        </w:rPr>
        <w:t xml:space="preserve">% of persons from a minority group engaged within a professional role remunerated on Agenda for Change Band 5 or </w:t>
      </w:r>
      <w:proofErr w:type="gramStart"/>
      <w:r w:rsidRPr="00E04E9A">
        <w:rPr>
          <w:sz w:val="22"/>
          <w:szCs w:val="22"/>
        </w:rPr>
        <w:t>above,</w:t>
      </w:r>
      <w:proofErr w:type="gramEnd"/>
      <w:r w:rsidRPr="00E04E9A">
        <w:rPr>
          <w:sz w:val="22"/>
          <w:szCs w:val="22"/>
        </w:rPr>
        <w:t xml:space="preserve"> compared to 57.</w:t>
      </w:r>
      <w:r w:rsidR="00E04E9A" w:rsidRPr="00E04E9A">
        <w:rPr>
          <w:sz w:val="22"/>
          <w:szCs w:val="22"/>
        </w:rPr>
        <w:t>8</w:t>
      </w:r>
      <w:r w:rsidRPr="00E04E9A">
        <w:rPr>
          <w:sz w:val="22"/>
          <w:szCs w:val="22"/>
        </w:rPr>
        <w:t>% of people who are not.</w:t>
      </w:r>
    </w:p>
    <w:p w:rsidR="00D57806" w:rsidRDefault="00D57806">
      <w:pPr>
        <w:rPr>
          <w:sz w:val="22"/>
          <w:szCs w:val="22"/>
        </w:rPr>
      </w:pPr>
    </w:p>
    <w:p w:rsidR="00BC100C" w:rsidRDefault="00BC100C">
      <w:pPr>
        <w:rPr>
          <w:sz w:val="22"/>
          <w:szCs w:val="22"/>
        </w:rPr>
      </w:pPr>
    </w:p>
    <w:p w:rsidR="00BC100C" w:rsidRPr="00BC100C" w:rsidRDefault="00BC100C">
      <w:pPr>
        <w:rPr>
          <w:sz w:val="22"/>
          <w:szCs w:val="22"/>
          <w:u w:val="single"/>
        </w:rPr>
      </w:pPr>
      <w:r w:rsidRPr="00BC100C">
        <w:rPr>
          <w:sz w:val="22"/>
          <w:szCs w:val="22"/>
          <w:u w:val="single"/>
        </w:rPr>
        <w:t>Closing the Pay Gap</w:t>
      </w:r>
    </w:p>
    <w:p w:rsidR="00BC100C" w:rsidRDefault="00BC100C" w:rsidP="00BC100C">
      <w:pPr>
        <w:jc w:val="both"/>
        <w:rPr>
          <w:sz w:val="22"/>
          <w:szCs w:val="22"/>
        </w:rPr>
      </w:pPr>
    </w:p>
    <w:p w:rsidR="00E020BC" w:rsidRDefault="00410312" w:rsidP="00BC100C">
      <w:pPr>
        <w:jc w:val="both"/>
        <w:rPr>
          <w:sz w:val="22"/>
          <w:szCs w:val="22"/>
        </w:rPr>
      </w:pPr>
      <w:r>
        <w:rPr>
          <w:sz w:val="22"/>
          <w:szCs w:val="22"/>
        </w:rPr>
        <w:t xml:space="preserve">As previously stated, remuneration levels within NHS Fife are determined by job evaluation processes.  These processes ensure employees </w:t>
      </w:r>
      <w:r w:rsidRPr="003A5A55">
        <w:rPr>
          <w:sz w:val="22"/>
          <w:szCs w:val="22"/>
        </w:rPr>
        <w:t xml:space="preserve">receive equal pay for the same or broadly similar work, or work rated as equivalent and for work of equal value.  </w:t>
      </w:r>
      <w:r>
        <w:rPr>
          <w:sz w:val="22"/>
          <w:szCs w:val="22"/>
        </w:rPr>
        <w:t xml:space="preserve">Application of the job evaluation processes also mean that the Pay Gap variations identified in this report are caused by factors unrelated to the Protected Characteristics of employees.  </w:t>
      </w:r>
      <w:r w:rsidR="00720EA5">
        <w:rPr>
          <w:sz w:val="22"/>
          <w:szCs w:val="22"/>
        </w:rPr>
        <w:t>Notwithstanding</w:t>
      </w:r>
      <w:r>
        <w:rPr>
          <w:sz w:val="22"/>
          <w:szCs w:val="22"/>
        </w:rPr>
        <w:t xml:space="preserve"> these processes, the </w:t>
      </w:r>
      <w:r w:rsidR="00D111BE">
        <w:rPr>
          <w:sz w:val="22"/>
          <w:szCs w:val="22"/>
        </w:rPr>
        <w:t xml:space="preserve">Equality and Human Rights Commission recommend that, as a general rule, differences of 5% or </w:t>
      </w:r>
      <w:proofErr w:type="gramStart"/>
      <w:r w:rsidR="00D111BE">
        <w:rPr>
          <w:sz w:val="22"/>
          <w:szCs w:val="22"/>
        </w:rPr>
        <w:t>more,</w:t>
      </w:r>
      <w:proofErr w:type="gramEnd"/>
      <w:r w:rsidR="00D111BE">
        <w:rPr>
          <w:sz w:val="22"/>
          <w:szCs w:val="22"/>
        </w:rPr>
        <w:t xml:space="preserve"> or recurring differences of 3% or more merit further investigation. </w:t>
      </w:r>
      <w:r w:rsidR="00E020BC">
        <w:rPr>
          <w:sz w:val="22"/>
          <w:szCs w:val="22"/>
        </w:rPr>
        <w:t>Using this as the definition, the Pay Gap information for each of the Protected Characteristics have been subject to further consideration to identify what steps could be taken to close the gap.</w:t>
      </w:r>
    </w:p>
    <w:p w:rsidR="00E020BC" w:rsidRDefault="00E020BC" w:rsidP="00BC100C">
      <w:pPr>
        <w:jc w:val="both"/>
        <w:rPr>
          <w:sz w:val="22"/>
          <w:szCs w:val="22"/>
        </w:rPr>
      </w:pPr>
    </w:p>
    <w:p w:rsidR="0020039A" w:rsidRPr="005806C1" w:rsidRDefault="00E020BC" w:rsidP="00BC100C">
      <w:pPr>
        <w:jc w:val="both"/>
        <w:rPr>
          <w:b/>
          <w:sz w:val="22"/>
          <w:szCs w:val="22"/>
        </w:rPr>
      </w:pPr>
      <w:r>
        <w:rPr>
          <w:sz w:val="22"/>
          <w:szCs w:val="22"/>
        </w:rPr>
        <w:t xml:space="preserve">A review of the Disability Pay Gap information since 2017 indicates that the </w:t>
      </w:r>
      <w:r w:rsidR="00410312">
        <w:rPr>
          <w:sz w:val="22"/>
          <w:szCs w:val="22"/>
        </w:rPr>
        <w:t xml:space="preserve">difference </w:t>
      </w:r>
      <w:r>
        <w:rPr>
          <w:sz w:val="22"/>
          <w:szCs w:val="22"/>
        </w:rPr>
        <w:t xml:space="preserve">between the average basic hourly earnings between </w:t>
      </w:r>
      <w:r w:rsidR="005806C1">
        <w:rPr>
          <w:sz w:val="22"/>
          <w:szCs w:val="22"/>
        </w:rPr>
        <w:t>employees</w:t>
      </w:r>
      <w:r>
        <w:rPr>
          <w:sz w:val="22"/>
          <w:szCs w:val="22"/>
        </w:rPr>
        <w:t xml:space="preserve"> who identify themselves as disabled and people who do not has </w:t>
      </w:r>
      <w:r w:rsidR="00410312">
        <w:rPr>
          <w:sz w:val="22"/>
          <w:szCs w:val="22"/>
        </w:rPr>
        <w:t xml:space="preserve">ranged from </w:t>
      </w:r>
      <w:r>
        <w:rPr>
          <w:sz w:val="22"/>
          <w:szCs w:val="22"/>
        </w:rPr>
        <w:t xml:space="preserve"> 0.9% (2017) </w:t>
      </w:r>
      <w:r w:rsidR="00410312">
        <w:rPr>
          <w:sz w:val="22"/>
          <w:szCs w:val="22"/>
        </w:rPr>
        <w:t xml:space="preserve">to </w:t>
      </w:r>
      <w:r>
        <w:rPr>
          <w:sz w:val="22"/>
          <w:szCs w:val="22"/>
        </w:rPr>
        <w:t>4.9% (2019).  The percentage pay gap in 2021 has fallen within the range</w:t>
      </w:r>
      <w:r w:rsidR="00410312">
        <w:rPr>
          <w:sz w:val="22"/>
          <w:szCs w:val="22"/>
        </w:rPr>
        <w:t xml:space="preserve">.  Further consideration of this percentage pay gap highlights </w:t>
      </w:r>
      <w:r>
        <w:rPr>
          <w:sz w:val="22"/>
          <w:szCs w:val="22"/>
        </w:rPr>
        <w:t xml:space="preserve">no differential </w:t>
      </w:r>
      <w:r w:rsidR="00410312">
        <w:rPr>
          <w:sz w:val="22"/>
          <w:szCs w:val="22"/>
        </w:rPr>
        <w:t xml:space="preserve">in pay between these groups </w:t>
      </w:r>
      <w:r>
        <w:rPr>
          <w:sz w:val="22"/>
          <w:szCs w:val="22"/>
        </w:rPr>
        <w:t xml:space="preserve">when using </w:t>
      </w:r>
      <w:r w:rsidR="008410C1">
        <w:rPr>
          <w:sz w:val="22"/>
          <w:szCs w:val="22"/>
        </w:rPr>
        <w:t xml:space="preserve">either </w:t>
      </w:r>
      <w:r>
        <w:rPr>
          <w:sz w:val="22"/>
          <w:szCs w:val="22"/>
        </w:rPr>
        <w:t xml:space="preserve">the </w:t>
      </w:r>
      <w:r w:rsidR="0020039A">
        <w:rPr>
          <w:sz w:val="22"/>
          <w:szCs w:val="22"/>
        </w:rPr>
        <w:t xml:space="preserve">median value (middle) or mode band (most commonly occurring).  </w:t>
      </w:r>
      <w:r w:rsidR="00410312">
        <w:rPr>
          <w:sz w:val="22"/>
          <w:szCs w:val="22"/>
        </w:rPr>
        <w:t>Therefore, t</w:t>
      </w:r>
      <w:r w:rsidR="0020039A">
        <w:rPr>
          <w:sz w:val="22"/>
          <w:szCs w:val="22"/>
        </w:rPr>
        <w:t xml:space="preserve">o obtain an improved understanding </w:t>
      </w:r>
      <w:r w:rsidR="008410C1">
        <w:rPr>
          <w:sz w:val="22"/>
          <w:szCs w:val="22"/>
        </w:rPr>
        <w:t xml:space="preserve">of this </w:t>
      </w:r>
      <w:proofErr w:type="gramStart"/>
      <w:r w:rsidR="008410C1">
        <w:rPr>
          <w:sz w:val="22"/>
          <w:szCs w:val="22"/>
        </w:rPr>
        <w:t>trend,</w:t>
      </w:r>
      <w:proofErr w:type="gramEnd"/>
      <w:r w:rsidR="008410C1">
        <w:rPr>
          <w:sz w:val="22"/>
          <w:szCs w:val="22"/>
        </w:rPr>
        <w:t xml:space="preserve"> and noting that information on this Protected Characteristic is typically obtained during an employee’s commencement within NHS Fife, employees will be asked to update their Protected </w:t>
      </w:r>
      <w:r w:rsidR="00FA285C">
        <w:rPr>
          <w:sz w:val="22"/>
          <w:szCs w:val="22"/>
        </w:rPr>
        <w:t>Characteristic</w:t>
      </w:r>
      <w:r w:rsidR="008410C1">
        <w:rPr>
          <w:sz w:val="22"/>
          <w:szCs w:val="22"/>
        </w:rPr>
        <w:t xml:space="preserve"> information in the coming year.</w:t>
      </w:r>
      <w:r w:rsidR="00FA285C">
        <w:rPr>
          <w:sz w:val="22"/>
          <w:szCs w:val="22"/>
        </w:rPr>
        <w:t xml:space="preserve">  This will ensure a more complete understanding of the Disability status of the workforce in future Pay Gap analysis.</w:t>
      </w:r>
    </w:p>
    <w:p w:rsidR="0020039A" w:rsidRDefault="0020039A" w:rsidP="00BC100C">
      <w:pPr>
        <w:jc w:val="both"/>
        <w:rPr>
          <w:sz w:val="22"/>
          <w:szCs w:val="22"/>
        </w:rPr>
      </w:pPr>
    </w:p>
    <w:p w:rsidR="00BC100C" w:rsidRDefault="00BC100C" w:rsidP="00BC100C">
      <w:pPr>
        <w:jc w:val="both"/>
        <w:rPr>
          <w:sz w:val="22"/>
          <w:szCs w:val="22"/>
        </w:rPr>
      </w:pPr>
      <w:r>
        <w:rPr>
          <w:sz w:val="22"/>
          <w:szCs w:val="22"/>
        </w:rPr>
        <w:t>A review of the Gender Pay Gap information since 2013 highlights the percentage pay gap between the average basic hourly earnings between male and female employees</w:t>
      </w:r>
      <w:r w:rsidR="008B2FF7">
        <w:rPr>
          <w:sz w:val="22"/>
          <w:szCs w:val="22"/>
        </w:rPr>
        <w:t xml:space="preserve"> </w:t>
      </w:r>
      <w:r w:rsidR="00632007">
        <w:rPr>
          <w:sz w:val="22"/>
          <w:szCs w:val="22"/>
        </w:rPr>
        <w:t xml:space="preserve">has narrowed </w:t>
      </w:r>
      <w:r w:rsidR="008B2FF7">
        <w:rPr>
          <w:sz w:val="22"/>
          <w:szCs w:val="22"/>
        </w:rPr>
        <w:t xml:space="preserve">by 2.1%.  This </w:t>
      </w:r>
      <w:r w:rsidR="00632007">
        <w:rPr>
          <w:sz w:val="22"/>
          <w:szCs w:val="22"/>
        </w:rPr>
        <w:t xml:space="preserve">improvement </w:t>
      </w:r>
      <w:r w:rsidR="008B2FF7">
        <w:rPr>
          <w:sz w:val="22"/>
          <w:szCs w:val="22"/>
        </w:rPr>
        <w:t xml:space="preserve">has been driven by the reduction in the gender pay gap </w:t>
      </w:r>
      <w:r w:rsidR="00632007">
        <w:rPr>
          <w:sz w:val="22"/>
          <w:szCs w:val="22"/>
        </w:rPr>
        <w:t xml:space="preserve">within the Medical and Dental Job Family from 16.6% (2013) to 5.7% (2021).  </w:t>
      </w:r>
      <w:r w:rsidR="00C73D94">
        <w:rPr>
          <w:sz w:val="22"/>
          <w:szCs w:val="22"/>
        </w:rPr>
        <w:t xml:space="preserve">With an increased proportion of females choosing medicine as a profession, which in </w:t>
      </w:r>
      <w:r w:rsidR="00FA285C">
        <w:rPr>
          <w:sz w:val="22"/>
          <w:szCs w:val="22"/>
        </w:rPr>
        <w:t xml:space="preserve">turn </w:t>
      </w:r>
      <w:r w:rsidR="00C73D94">
        <w:rPr>
          <w:sz w:val="22"/>
          <w:szCs w:val="22"/>
        </w:rPr>
        <w:t xml:space="preserve">will result in </w:t>
      </w:r>
      <w:r w:rsidR="00FA285C">
        <w:rPr>
          <w:sz w:val="22"/>
          <w:szCs w:val="22"/>
        </w:rPr>
        <w:t xml:space="preserve">an </w:t>
      </w:r>
      <w:r w:rsidR="00C73D94">
        <w:rPr>
          <w:sz w:val="22"/>
          <w:szCs w:val="22"/>
        </w:rPr>
        <w:t>increase</w:t>
      </w:r>
      <w:r w:rsidR="00FA285C">
        <w:rPr>
          <w:sz w:val="22"/>
          <w:szCs w:val="22"/>
        </w:rPr>
        <w:t>d</w:t>
      </w:r>
      <w:r w:rsidR="00C73D94">
        <w:rPr>
          <w:sz w:val="22"/>
          <w:szCs w:val="22"/>
        </w:rPr>
        <w:t xml:space="preserve"> percentage of th</w:t>
      </w:r>
      <w:r w:rsidR="00FA285C">
        <w:rPr>
          <w:sz w:val="22"/>
          <w:szCs w:val="22"/>
        </w:rPr>
        <w:t>e</w:t>
      </w:r>
      <w:r w:rsidR="00C73D94">
        <w:rPr>
          <w:sz w:val="22"/>
          <w:szCs w:val="22"/>
        </w:rPr>
        <w:t xml:space="preserve"> job family who are female</w:t>
      </w:r>
      <w:r w:rsidR="00FA285C">
        <w:rPr>
          <w:sz w:val="22"/>
          <w:szCs w:val="22"/>
        </w:rPr>
        <w:t xml:space="preserve"> in the long term</w:t>
      </w:r>
      <w:r w:rsidR="00C73D94">
        <w:rPr>
          <w:sz w:val="22"/>
          <w:szCs w:val="22"/>
        </w:rPr>
        <w:t xml:space="preserve">, it is </w:t>
      </w:r>
      <w:r w:rsidR="00632007">
        <w:rPr>
          <w:sz w:val="22"/>
          <w:szCs w:val="22"/>
        </w:rPr>
        <w:t xml:space="preserve">envisaged </w:t>
      </w:r>
      <w:r w:rsidR="00632007">
        <w:rPr>
          <w:sz w:val="22"/>
          <w:szCs w:val="22"/>
        </w:rPr>
        <w:lastRenderedPageBreak/>
        <w:t>th</w:t>
      </w:r>
      <w:r w:rsidR="00C73D94">
        <w:rPr>
          <w:sz w:val="22"/>
          <w:szCs w:val="22"/>
        </w:rPr>
        <w:t xml:space="preserve">is steady </w:t>
      </w:r>
      <w:r w:rsidR="005A4B18">
        <w:rPr>
          <w:sz w:val="22"/>
          <w:szCs w:val="22"/>
        </w:rPr>
        <w:t xml:space="preserve">reduction in </w:t>
      </w:r>
      <w:r w:rsidR="00632007">
        <w:rPr>
          <w:sz w:val="22"/>
          <w:szCs w:val="22"/>
        </w:rPr>
        <w:t>gender pay gap will continue</w:t>
      </w:r>
      <w:r w:rsidR="00C73D94">
        <w:rPr>
          <w:sz w:val="22"/>
          <w:szCs w:val="22"/>
        </w:rPr>
        <w:t xml:space="preserve">.  It is unclear if this in itself will be sufficient to narrow the pay gap within NHS Fife due to the </w:t>
      </w:r>
      <w:r w:rsidR="005A4B18">
        <w:rPr>
          <w:sz w:val="22"/>
          <w:szCs w:val="22"/>
        </w:rPr>
        <w:t>occupational segregation factors described above.</w:t>
      </w:r>
      <w:r w:rsidR="008B2FF7">
        <w:rPr>
          <w:sz w:val="22"/>
          <w:szCs w:val="22"/>
        </w:rPr>
        <w:t xml:space="preserve"> </w:t>
      </w:r>
      <w:r w:rsidR="00C73D94">
        <w:rPr>
          <w:sz w:val="22"/>
          <w:szCs w:val="22"/>
        </w:rPr>
        <w:t>We will continue to review the</w:t>
      </w:r>
      <w:r w:rsidR="0020039A">
        <w:rPr>
          <w:sz w:val="22"/>
          <w:szCs w:val="22"/>
        </w:rPr>
        <w:t xml:space="preserve"> trend</w:t>
      </w:r>
      <w:r w:rsidR="00C73D94">
        <w:rPr>
          <w:sz w:val="22"/>
          <w:szCs w:val="22"/>
        </w:rPr>
        <w:t xml:space="preserve">, monitoring this against </w:t>
      </w:r>
      <w:r w:rsidR="0020039A">
        <w:rPr>
          <w:sz w:val="22"/>
          <w:szCs w:val="22"/>
        </w:rPr>
        <w:t xml:space="preserve">other Health Boards throughout </w:t>
      </w:r>
      <w:r w:rsidR="00C73D94">
        <w:rPr>
          <w:sz w:val="22"/>
          <w:szCs w:val="22"/>
        </w:rPr>
        <w:t>NHS Scotland.</w:t>
      </w:r>
    </w:p>
    <w:p w:rsidR="00C73D94" w:rsidRDefault="00C73D94" w:rsidP="00BC100C">
      <w:pPr>
        <w:jc w:val="both"/>
        <w:rPr>
          <w:sz w:val="22"/>
          <w:szCs w:val="22"/>
        </w:rPr>
      </w:pPr>
    </w:p>
    <w:p w:rsidR="00C73D94" w:rsidRDefault="005806C1" w:rsidP="00BC100C">
      <w:pPr>
        <w:jc w:val="both"/>
        <w:rPr>
          <w:sz w:val="22"/>
          <w:szCs w:val="22"/>
        </w:rPr>
      </w:pPr>
      <w:r>
        <w:rPr>
          <w:sz w:val="22"/>
          <w:szCs w:val="22"/>
        </w:rPr>
        <w:t xml:space="preserve">A review of the Race Pay Gap information highlights the basic hourly earnings of employees who identify themselves as belonging to a </w:t>
      </w:r>
      <w:r w:rsidR="00720EA5">
        <w:rPr>
          <w:sz w:val="22"/>
          <w:szCs w:val="22"/>
        </w:rPr>
        <w:t>minority racial group</w:t>
      </w:r>
      <w:r>
        <w:rPr>
          <w:sz w:val="22"/>
          <w:szCs w:val="22"/>
        </w:rPr>
        <w:t xml:space="preserve"> is 28.25% more than those who identify themselves as white.  </w:t>
      </w:r>
      <w:r w:rsidR="008410C1">
        <w:rPr>
          <w:sz w:val="22"/>
          <w:szCs w:val="22"/>
        </w:rPr>
        <w:t>T</w:t>
      </w:r>
      <w:r w:rsidR="00FA285C">
        <w:rPr>
          <w:sz w:val="22"/>
          <w:szCs w:val="22"/>
        </w:rPr>
        <w:t>hese results indicate that BAME employees are not disadvantaged in relation to their average basic hourly earnings, and t</w:t>
      </w:r>
      <w:r w:rsidR="008410C1">
        <w:rPr>
          <w:sz w:val="22"/>
          <w:szCs w:val="22"/>
        </w:rPr>
        <w:t xml:space="preserve">his </w:t>
      </w:r>
      <w:r w:rsidR="00FA285C">
        <w:rPr>
          <w:sz w:val="22"/>
          <w:szCs w:val="22"/>
        </w:rPr>
        <w:t xml:space="preserve">is reflective of a </w:t>
      </w:r>
      <w:r w:rsidR="008410C1">
        <w:rPr>
          <w:sz w:val="22"/>
          <w:szCs w:val="22"/>
        </w:rPr>
        <w:t xml:space="preserve">higher prevalence of BAME employees in professional roles remunerated on Agenda for Change pay bands 5 and above, and improved </w:t>
      </w:r>
      <w:r>
        <w:rPr>
          <w:sz w:val="22"/>
          <w:szCs w:val="22"/>
        </w:rPr>
        <w:t>recording of Protected Characteristic information within the Medical and Dental Job Family</w:t>
      </w:r>
      <w:r w:rsidR="00FA285C">
        <w:rPr>
          <w:sz w:val="22"/>
          <w:szCs w:val="22"/>
        </w:rPr>
        <w:t>, a job family that typically earn a higher</w:t>
      </w:r>
      <w:r>
        <w:rPr>
          <w:sz w:val="22"/>
          <w:szCs w:val="22"/>
        </w:rPr>
        <w:t xml:space="preserve"> </w:t>
      </w:r>
      <w:r w:rsidR="00FA285C">
        <w:rPr>
          <w:sz w:val="22"/>
          <w:szCs w:val="22"/>
        </w:rPr>
        <w:t xml:space="preserve">average </w:t>
      </w:r>
      <w:r>
        <w:rPr>
          <w:sz w:val="22"/>
          <w:szCs w:val="22"/>
        </w:rPr>
        <w:t>hourly rate</w:t>
      </w:r>
      <w:r w:rsidR="00FA285C">
        <w:rPr>
          <w:sz w:val="22"/>
          <w:szCs w:val="22"/>
        </w:rPr>
        <w:t xml:space="preserve">.  </w:t>
      </w:r>
    </w:p>
    <w:p w:rsidR="00F065F3" w:rsidRDefault="00F065F3" w:rsidP="00BC100C">
      <w:pPr>
        <w:jc w:val="both"/>
        <w:rPr>
          <w:sz w:val="22"/>
          <w:szCs w:val="22"/>
        </w:rPr>
        <w:sectPr w:rsidR="00F065F3" w:rsidSect="00F065F3">
          <w:headerReference w:type="default" r:id="rId11"/>
          <w:pgSz w:w="11906" w:h="16838"/>
          <w:pgMar w:top="1440" w:right="1440" w:bottom="1440" w:left="1440" w:header="709" w:footer="709" w:gutter="0"/>
          <w:cols w:space="708"/>
          <w:docGrid w:linePitch="360"/>
        </w:sectPr>
      </w:pPr>
    </w:p>
    <w:tbl>
      <w:tblPr>
        <w:tblW w:w="5000" w:type="pct"/>
        <w:tblLook w:val="04A0"/>
      </w:tblPr>
      <w:tblGrid>
        <w:gridCol w:w="3760"/>
        <w:gridCol w:w="1129"/>
        <w:gridCol w:w="904"/>
        <w:gridCol w:w="904"/>
        <w:gridCol w:w="904"/>
        <w:gridCol w:w="904"/>
        <w:gridCol w:w="904"/>
        <w:gridCol w:w="904"/>
        <w:gridCol w:w="1055"/>
        <w:gridCol w:w="998"/>
        <w:gridCol w:w="904"/>
        <w:gridCol w:w="904"/>
      </w:tblGrid>
      <w:tr w:rsidR="00D57806" w:rsidRPr="00316BC9" w:rsidTr="000603DF">
        <w:trPr>
          <w:trHeight w:val="300"/>
        </w:trPr>
        <w:tc>
          <w:tcPr>
            <w:tcW w:w="1724" w:type="pct"/>
            <w:gridSpan w:val="2"/>
            <w:tcBorders>
              <w:top w:val="nil"/>
              <w:left w:val="nil"/>
              <w:bottom w:val="nil"/>
              <w:right w:val="nil"/>
            </w:tcBorders>
            <w:shd w:val="clear" w:color="auto" w:fill="auto"/>
            <w:noWrap/>
            <w:vAlign w:val="bottom"/>
            <w:hideMark/>
          </w:tcPr>
          <w:p w:rsidR="00D57806" w:rsidRPr="00316BC9" w:rsidRDefault="00D57806" w:rsidP="00B86F77">
            <w:pPr>
              <w:rPr>
                <w:rFonts w:cs="Arial"/>
                <w:sz w:val="20"/>
                <w:lang w:eastAsia="en-GB"/>
              </w:rPr>
            </w:pPr>
            <w:r w:rsidRPr="00316BC9">
              <w:rPr>
                <w:rFonts w:cs="Arial"/>
                <w:sz w:val="20"/>
                <w:lang w:eastAsia="en-GB"/>
              </w:rPr>
              <w:lastRenderedPageBreak/>
              <w:t>Reporting Category:  Agenda for Change</w:t>
            </w: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72"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52"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r>
      <w:tr w:rsidR="00D57806" w:rsidRPr="00316BC9" w:rsidTr="000603DF">
        <w:trPr>
          <w:trHeight w:val="300"/>
        </w:trPr>
        <w:tc>
          <w:tcPr>
            <w:tcW w:w="1326" w:type="pct"/>
            <w:tcBorders>
              <w:top w:val="nil"/>
              <w:left w:val="nil"/>
              <w:bottom w:val="nil"/>
              <w:right w:val="nil"/>
            </w:tcBorders>
            <w:shd w:val="clear" w:color="auto" w:fill="auto"/>
            <w:noWrap/>
            <w:vAlign w:val="bottom"/>
            <w:hideMark/>
          </w:tcPr>
          <w:p w:rsidR="00D57806" w:rsidRPr="00316BC9" w:rsidRDefault="00D57806" w:rsidP="00B86F77">
            <w:pPr>
              <w:rPr>
                <w:rFonts w:cs="Arial"/>
                <w:b/>
                <w:bCs/>
                <w:sz w:val="20"/>
                <w:lang w:eastAsia="en-GB"/>
              </w:rPr>
            </w:pPr>
            <w:r w:rsidRPr="00316BC9">
              <w:rPr>
                <w:rFonts w:cs="Arial"/>
                <w:b/>
                <w:bCs/>
                <w:sz w:val="20"/>
                <w:lang w:eastAsia="en-GB"/>
              </w:rPr>
              <w:t>Gender Equal Pay Audit</w:t>
            </w:r>
          </w:p>
        </w:tc>
        <w:tc>
          <w:tcPr>
            <w:tcW w:w="397"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72"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52"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1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r>
    </w:tbl>
    <w:p w:rsidR="00D57806" w:rsidRDefault="00D57806" w:rsidP="00D57806"/>
    <w:tbl>
      <w:tblPr>
        <w:tblW w:w="5000" w:type="pct"/>
        <w:tblLook w:val="04A0"/>
      </w:tblPr>
      <w:tblGrid>
        <w:gridCol w:w="2140"/>
        <w:gridCol w:w="1290"/>
        <w:gridCol w:w="1627"/>
        <w:gridCol w:w="224"/>
        <w:gridCol w:w="539"/>
        <w:gridCol w:w="77"/>
        <w:gridCol w:w="122"/>
        <w:gridCol w:w="524"/>
        <w:gridCol w:w="196"/>
        <w:gridCol w:w="68"/>
        <w:gridCol w:w="539"/>
        <w:gridCol w:w="323"/>
        <w:gridCol w:w="147"/>
        <w:gridCol w:w="397"/>
        <w:gridCol w:w="300"/>
        <w:gridCol w:w="40"/>
        <w:gridCol w:w="405"/>
        <w:gridCol w:w="482"/>
        <w:gridCol w:w="40"/>
        <w:gridCol w:w="343"/>
        <w:gridCol w:w="544"/>
        <w:gridCol w:w="119"/>
        <w:gridCol w:w="201"/>
        <w:gridCol w:w="697"/>
        <w:gridCol w:w="119"/>
        <w:gridCol w:w="130"/>
        <w:gridCol w:w="768"/>
        <w:gridCol w:w="119"/>
        <w:gridCol w:w="60"/>
        <w:gridCol w:w="678"/>
        <w:gridCol w:w="51"/>
        <w:gridCol w:w="865"/>
      </w:tblGrid>
      <w:tr w:rsidR="000603DF" w:rsidRPr="000603DF" w:rsidTr="00571244">
        <w:trPr>
          <w:trHeight w:val="264"/>
        </w:trPr>
        <w:tc>
          <w:tcPr>
            <w:tcW w:w="1210" w:type="pct"/>
            <w:gridSpan w:val="2"/>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921" w:type="pct"/>
            <w:gridSpan w:val="9"/>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Female</w:t>
            </w:r>
          </w:p>
        </w:tc>
        <w:tc>
          <w:tcPr>
            <w:tcW w:w="952" w:type="pct"/>
            <w:gridSpan w:val="9"/>
            <w:tcBorders>
              <w:top w:val="single" w:sz="4" w:space="0" w:color="auto"/>
              <w:left w:val="nil"/>
              <w:bottom w:val="single" w:sz="4" w:space="0" w:color="auto"/>
              <w:right w:val="single" w:sz="4" w:space="0" w:color="000000"/>
            </w:tcBorders>
            <w:shd w:val="clear" w:color="000000" w:fill="DBE5F1"/>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Male</w:t>
            </w:r>
          </w:p>
        </w:tc>
        <w:tc>
          <w:tcPr>
            <w:tcW w:w="359"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02"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3" w:type="pct"/>
            <w:gridSpan w:val="2"/>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r>
      <w:tr w:rsidR="000603DF" w:rsidRPr="000603DF" w:rsidTr="00571244">
        <w:trPr>
          <w:trHeight w:val="1320"/>
        </w:trPr>
        <w:tc>
          <w:tcPr>
            <w:tcW w:w="12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Job Family</w:t>
            </w:r>
          </w:p>
        </w:tc>
        <w:tc>
          <w:tcPr>
            <w:tcW w:w="574" w:type="pct"/>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AFC Band</w:t>
            </w:r>
          </w:p>
        </w:tc>
        <w:tc>
          <w:tcPr>
            <w:tcW w:w="296"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Count</w:t>
            </w:r>
          </w:p>
        </w:tc>
        <w:tc>
          <w:tcPr>
            <w:tcW w:w="297"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proofErr w:type="spellStart"/>
            <w:r w:rsidRPr="006A3C1A">
              <w:rPr>
                <w:rFonts w:asciiTheme="minorHAnsi" w:hAnsiTheme="minorHAnsi" w:cstheme="minorHAnsi"/>
                <w:b/>
                <w:bCs/>
                <w:sz w:val="18"/>
                <w:szCs w:val="18"/>
                <w:lang w:eastAsia="en-GB"/>
              </w:rPr>
              <w:t>Avg</w:t>
            </w:r>
            <w:proofErr w:type="spellEnd"/>
            <w:r w:rsidRPr="006A3C1A">
              <w:rPr>
                <w:rFonts w:asciiTheme="minorHAnsi" w:hAnsiTheme="minorHAnsi" w:cstheme="minorHAnsi"/>
                <w:b/>
                <w:bCs/>
                <w:sz w:val="18"/>
                <w:szCs w:val="18"/>
                <w:lang w:eastAsia="en-GB"/>
              </w:rPr>
              <w:t xml:space="preserve"> Basic Hourly Rate</w:t>
            </w:r>
          </w:p>
        </w:tc>
        <w:tc>
          <w:tcPr>
            <w:tcW w:w="328"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of Staff Group</w:t>
            </w:r>
          </w:p>
        </w:tc>
        <w:tc>
          <w:tcPr>
            <w:tcW w:w="298"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Count</w:t>
            </w:r>
          </w:p>
        </w:tc>
        <w:tc>
          <w:tcPr>
            <w:tcW w:w="327"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Average of Basic Hourly Rate</w:t>
            </w:r>
          </w:p>
        </w:tc>
        <w:tc>
          <w:tcPr>
            <w:tcW w:w="327"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of Staff Group</w:t>
            </w:r>
          </w:p>
        </w:tc>
        <w:tc>
          <w:tcPr>
            <w:tcW w:w="359" w:type="pct"/>
            <w:gridSpan w:val="3"/>
            <w:tcBorders>
              <w:top w:val="single" w:sz="4" w:space="0" w:color="auto"/>
              <w:left w:val="nil"/>
              <w:bottom w:val="nil"/>
              <w:right w:val="single" w:sz="4" w:space="0" w:color="auto"/>
            </w:tcBorders>
            <w:shd w:val="clear" w:color="000000" w:fill="FFFFFF"/>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Monetary Variance Male to Female</w:t>
            </w:r>
          </w:p>
        </w:tc>
        <w:tc>
          <w:tcPr>
            <w:tcW w:w="359" w:type="pct"/>
            <w:gridSpan w:val="3"/>
            <w:tcBorders>
              <w:top w:val="single" w:sz="4" w:space="0" w:color="auto"/>
              <w:left w:val="nil"/>
              <w:bottom w:val="nil"/>
              <w:right w:val="single" w:sz="4" w:space="0" w:color="auto"/>
            </w:tcBorders>
            <w:shd w:val="clear" w:color="000000" w:fill="FFFFFF"/>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Monetary Variance Male to Female %</w:t>
            </w:r>
          </w:p>
        </w:tc>
        <w:tc>
          <w:tcPr>
            <w:tcW w:w="302" w:type="pct"/>
            <w:gridSpan w:val="3"/>
            <w:tcBorders>
              <w:top w:val="single" w:sz="4" w:space="0" w:color="auto"/>
              <w:left w:val="nil"/>
              <w:bottom w:val="nil"/>
              <w:right w:val="single" w:sz="4" w:space="0" w:color="auto"/>
            </w:tcBorders>
            <w:shd w:val="clear" w:color="000000" w:fill="FFFFFF"/>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Total Count</w:t>
            </w:r>
          </w:p>
        </w:tc>
        <w:tc>
          <w:tcPr>
            <w:tcW w:w="323" w:type="pct"/>
            <w:gridSpan w:val="2"/>
            <w:tcBorders>
              <w:top w:val="single" w:sz="4" w:space="0" w:color="auto"/>
              <w:left w:val="nil"/>
              <w:bottom w:val="nil"/>
              <w:right w:val="single" w:sz="4" w:space="0" w:color="auto"/>
            </w:tcBorders>
            <w:shd w:val="clear" w:color="000000" w:fill="FFFFFF"/>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Average of Basic Hourly Rate</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ADMINISTRATIVE SERVICES</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369</w:t>
            </w:r>
          </w:p>
        </w:tc>
        <w:tc>
          <w:tcPr>
            <w:tcW w:w="297"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£10.38</w:t>
            </w:r>
          </w:p>
        </w:tc>
        <w:tc>
          <w:tcPr>
            <w:tcW w:w="328"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91.79%</w:t>
            </w:r>
          </w:p>
        </w:tc>
        <w:tc>
          <w:tcPr>
            <w:tcW w:w="298"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w:t>
            </w:r>
          </w:p>
        </w:tc>
        <w:tc>
          <w:tcPr>
            <w:tcW w:w="327"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£10.29</w:t>
            </w:r>
          </w:p>
        </w:tc>
        <w:tc>
          <w:tcPr>
            <w:tcW w:w="327"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8.21%</w:t>
            </w:r>
          </w:p>
        </w:tc>
        <w:tc>
          <w:tcPr>
            <w:tcW w:w="35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-£0.09</w:t>
            </w:r>
          </w:p>
        </w:tc>
        <w:tc>
          <w:tcPr>
            <w:tcW w:w="359"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-0.91%</w:t>
            </w:r>
          </w:p>
        </w:tc>
        <w:tc>
          <w:tcPr>
            <w:tcW w:w="302"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402</w:t>
            </w:r>
          </w:p>
        </w:tc>
        <w:tc>
          <w:tcPr>
            <w:tcW w:w="32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£10.38</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340</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92.90%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£11.05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7.10%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-£0.38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-3.48%</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366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£11.41</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£12.59</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94.10%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£12.19</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5.90%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-£0.40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-3.28%</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407</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£15.15</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75.38%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£15.14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24.62%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£15.15</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75</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£18.59</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69.44%</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£18.49</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30.56%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-£0.09</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-0.51%</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£18.56</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£22.58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66.67%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£22.13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33.33%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-£0.45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-2.03%</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£22.43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£26.19</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69.57%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£26.17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30.43%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-0.07%</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£26.18</w:t>
            </w:r>
          </w:p>
        </w:tc>
      </w:tr>
      <w:tr w:rsidR="00571244"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571244" w:rsidRPr="006A3C1A" w:rsidRDefault="00571244"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571244" w:rsidRPr="006A3C1A" w:rsidRDefault="00571244"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8B</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£31.68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90.48%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571244" w:rsidRPr="006A3C1A" w:rsidRDefault="00571244" w:rsidP="00571244">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9.52%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571244" w:rsidRPr="006A3C1A" w:rsidRDefault="00571244" w:rsidP="00571244">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571244" w:rsidRPr="006A3C1A" w:rsidRDefault="00571244" w:rsidP="00571244">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571244" w:rsidRPr="006A3C1A" w:rsidRDefault="00571244"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£31.56</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8C</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55.56%</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44.44%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£38.39</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8D</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75.00%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single" w:sz="4" w:space="0" w:color="auto"/>
              <w:left w:val="single" w:sz="4" w:space="0" w:color="auto"/>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ADMINISTRATIVE SERVICES Total</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1350</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£13.12</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88.06%</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183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£15.97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11.94%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£2.85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17.86%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1533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£13.46</w:t>
            </w:r>
          </w:p>
        </w:tc>
      </w:tr>
      <w:tr w:rsidR="000603DF" w:rsidRPr="000603DF" w:rsidTr="00571244">
        <w:trPr>
          <w:trHeight w:val="264"/>
        </w:trPr>
        <w:tc>
          <w:tcPr>
            <w:tcW w:w="1210"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ALLIED HEALTH PROFESSION</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£10.54</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£10.44</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88.65%</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£11.25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-£0.15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-1.31%</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£11.38</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£12.47</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97.92%</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2.08%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£12.48</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60</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£14.26</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73.17%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£13.91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26.83%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-£0.36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-2.58%</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£14.17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243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£18.70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88.69%</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£18.35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-£0.35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-1.91%</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274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£18.66</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£22.98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90.19%</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£22.13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9.81%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-£0.84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-3.82%</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£22.89</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£26.54</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84.78%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£26.45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15.22%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-£0.09</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-0.33%</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£26.53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8B</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£30.88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£31.03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8C</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9</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ALLIED HEALTH PROFESSION Total</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727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£18.44</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87.59%</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103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£17.59</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12.41%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-£0.85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830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£18.33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DENTAL SUPPORT</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66.67%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33.33%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lastRenderedPageBreak/>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£11.55</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£11.55</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£12.61</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94.44%</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5.56%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£12.62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£15.65</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£15.65</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£19.00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£19.00</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nil"/>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DENTAL SUPPORT Total</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76</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£14.41</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96.20%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79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£14.32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HEALTHCARE SCIENCES</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£11.35</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62.22%</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37.78%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0.32%</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45</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£11.36</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£12.25</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69.23%</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30.77%</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£12.41</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£14.03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£14.01</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£19.19</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74.60%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£19.05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25.40%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-£0.14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-0.75%</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£19.15</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£22.73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76.00%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£23.53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24.00%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£0.79</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3.38%</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£22.92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£26.87</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75.00%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£26.98</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8B</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£32.00</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8C</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single" w:sz="4" w:space="0" w:color="auto"/>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8D</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nil"/>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HEALTHCARE SCIENCES Total</w:t>
            </w:r>
          </w:p>
        </w:tc>
        <w:tc>
          <w:tcPr>
            <w:tcW w:w="574" w:type="pct"/>
            <w:tcBorders>
              <w:top w:val="single" w:sz="4" w:space="0" w:color="auto"/>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124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£18.37</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70.06%</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53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£17.44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29.94%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FF0000"/>
                <w:sz w:val="18"/>
                <w:szCs w:val="18"/>
                <w:lang w:eastAsia="en-GB"/>
              </w:rPr>
              <w:t>-£0.93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-5.32%</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177</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£18.09</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MEDICAL SUPPORT</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£15.07</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76.47%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23.53%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£15.33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23.08%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£19.73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76.92%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£19.80</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nil"/>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75.00%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nil"/>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MEDICAL SUPPORT Total</w:t>
            </w:r>
          </w:p>
        </w:tc>
        <w:tc>
          <w:tcPr>
            <w:tcW w:w="574" w:type="pct"/>
            <w:tcBorders>
              <w:top w:val="single" w:sz="4" w:space="0" w:color="auto"/>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£17.01</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52.78%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£18.10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47.22%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£1.09</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6.04%</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36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£17.52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NURSING/MIDWIFERY</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678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£10.34</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94.43%</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£10.26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5.57%</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-£0.09</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-0.86%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718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£10.34</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398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£11.42</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86.15%</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13.85%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-0.15%</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462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85</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97.70%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£12.77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£0.25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1.92%</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87</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1668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£15.35</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94.08%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£15.56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5.92%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£0.21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1.34%</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1773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£15.36</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761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£18.60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93.03%</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£18.42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6.97%</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-£0.18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-0.97%</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818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£18.59</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427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£21.83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94.05%</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£22.15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5.95%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£0.32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1.44%</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454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£21.85</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£26.38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83.05%</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£26.51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16.95%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£0.13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0.51%</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£26.40</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8B</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£31.78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91.30%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£31.61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8.70%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-£0.17</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-0.53%</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£31.77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8C</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lastRenderedPageBreak/>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8D</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single" w:sz="4" w:space="0" w:color="auto"/>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NURSING/MIDWIFERY Total</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4094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£15.62</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93.02%</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307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£15.56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6.98%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FF0000"/>
                <w:sz w:val="18"/>
                <w:szCs w:val="18"/>
                <w:lang w:eastAsia="en-GB"/>
              </w:rPr>
              <w:t>-£0.06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-0.40%</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4401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£15.61</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OTHER THERAPEUTIC</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£10.34</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83.87%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16.13%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£10.27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£11.20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61.11%</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£11.14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38.89%</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-0.56%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£11.18</w:t>
            </w:r>
          </w:p>
        </w:tc>
      </w:tr>
      <w:tr w:rsidR="00117BC7"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117BC7" w:rsidRPr="006A3C1A" w:rsidRDefault="00117BC7"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117BC7" w:rsidRPr="006A3C1A" w:rsidRDefault="00117BC7"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£12.01</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91.18%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117BC7" w:rsidRPr="006A3C1A" w:rsidRDefault="00117BC7" w:rsidP="00117BC7">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8.82%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117BC7" w:rsidRPr="006A3C1A" w:rsidRDefault="00117BC7" w:rsidP="006C508E">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117BC7" w:rsidRPr="006A3C1A" w:rsidRDefault="00117BC7" w:rsidP="006C508E">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117BC7" w:rsidRPr="006A3C1A" w:rsidRDefault="00117BC7"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£12.00</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37</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£14.91</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88.10%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£14.46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11.90%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-£0.44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£14.85</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£17.02</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84.62%</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£16.87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15.38%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-£0.15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-0.89%</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£17.00</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£21.80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85.14%</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£21.26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14.86%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-£0.54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£21.72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£26.40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79.07%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£26.09</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20.93%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-£0.31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-1.20%</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£26.33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8B</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£32.00</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82.50%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£31.78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17.50%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-£0.22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-0.70%</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£31.96</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8C</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£38.32</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82.35%</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17.65%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£38.33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8D</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66.67%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33.33%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£45.22</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9</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nil"/>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OTHER THERAPEUTIC Total</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321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£21.42</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82.52%</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68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£22.33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17.48%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£0.91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4.09%</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389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£21.58</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PERSONAL AND SOCIAL CARE</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£11.03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£11.03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£13.59</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91.07%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8.93%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£13.52</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£18.46</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83.33%</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16.67%</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£18.10</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£22.23</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£22.49</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8B</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nil"/>
              <w:left w:val="single" w:sz="4" w:space="0" w:color="auto"/>
              <w:bottom w:val="single" w:sz="4" w:space="0" w:color="auto"/>
              <w:right w:val="nil"/>
            </w:tcBorders>
            <w:shd w:val="clear" w:color="000000" w:fill="FFFFFF"/>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PERSONAL AND SOCIAL CARE Total</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89</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£15.36</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89.90%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£16.00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10.10%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£0.64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4.01%</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99</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£15.43</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SUPPORT SERVICES</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2</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681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£10.38</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74.34%</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£10.36</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25.66%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-£0.01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-0.12%</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916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£10.37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3</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£11.36</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63.53%</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£11.40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36.47%</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£0.04</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0.36%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85</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£11.37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4</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£12.34</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13.79%</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£12.19</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86.21%</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-£0.15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-1.23%</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£12.21</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5</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7.14%</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£15.41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92.86%</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£15.47</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6</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18.18%</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£18.51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81.82%</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£18.61</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7</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37.50%</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62.50%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£23.20</w:t>
            </w:r>
          </w:p>
        </w:tc>
      </w:tr>
      <w:tr w:rsidR="000603DF" w:rsidRPr="000603DF" w:rsidTr="00571244">
        <w:trPr>
          <w:trHeight w:val="264"/>
        </w:trPr>
        <w:tc>
          <w:tcPr>
            <w:tcW w:w="1210" w:type="pct"/>
            <w:gridSpan w:val="2"/>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8A</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16.67%</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83.33%</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£26.31</w:t>
            </w:r>
          </w:p>
        </w:tc>
      </w:tr>
      <w:tr w:rsidR="000603DF" w:rsidRPr="000603DF" w:rsidTr="00571244">
        <w:trPr>
          <w:trHeight w:val="264"/>
        </w:trPr>
        <w:tc>
          <w:tcPr>
            <w:tcW w:w="121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Band 8C</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88"/>
        </w:trPr>
        <w:tc>
          <w:tcPr>
            <w:tcW w:w="1210" w:type="pct"/>
            <w:gridSpan w:val="2"/>
            <w:tcBorders>
              <w:top w:val="nil"/>
              <w:left w:val="single" w:sz="4" w:space="0" w:color="auto"/>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SUPPORT SERVICES Total</w:t>
            </w:r>
          </w:p>
        </w:tc>
        <w:tc>
          <w:tcPr>
            <w:tcW w:w="574" w:type="pct"/>
            <w:tcBorders>
              <w:top w:val="nil"/>
              <w:left w:val="nil"/>
              <w:bottom w:val="single" w:sz="4" w:space="0" w:color="auto"/>
              <w:right w:val="nil"/>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752</w:t>
            </w:r>
          </w:p>
        </w:tc>
        <w:tc>
          <w:tcPr>
            <w:tcW w:w="29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£10.59</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67.75%</w:t>
            </w:r>
          </w:p>
        </w:tc>
        <w:tc>
          <w:tcPr>
            <w:tcW w:w="29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358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£11.78</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32.25%</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£1.18</w:t>
            </w:r>
          </w:p>
        </w:tc>
        <w:tc>
          <w:tcPr>
            <w:tcW w:w="359"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10.06%</w:t>
            </w:r>
          </w:p>
        </w:tc>
        <w:tc>
          <w:tcPr>
            <w:tcW w:w="302" w:type="pct"/>
            <w:gridSpan w:val="3"/>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1110</w:t>
            </w:r>
          </w:p>
        </w:tc>
        <w:tc>
          <w:tcPr>
            <w:tcW w:w="323" w:type="pct"/>
            <w:gridSpan w:val="2"/>
            <w:tcBorders>
              <w:top w:val="nil"/>
              <w:left w:val="nil"/>
              <w:bottom w:val="single" w:sz="4" w:space="0" w:color="auto"/>
              <w:right w:val="single" w:sz="4" w:space="0" w:color="auto"/>
            </w:tcBorders>
            <w:shd w:val="clear" w:color="000000" w:fill="FFFFFF"/>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£10.97</w:t>
            </w:r>
          </w:p>
        </w:tc>
      </w:tr>
      <w:tr w:rsidR="000603DF" w:rsidRPr="000603DF" w:rsidTr="00571244">
        <w:trPr>
          <w:trHeight w:val="264"/>
        </w:trPr>
        <w:tc>
          <w:tcPr>
            <w:tcW w:w="1210" w:type="pct"/>
            <w:gridSpan w:val="2"/>
            <w:tcBorders>
              <w:top w:val="nil"/>
              <w:left w:val="single" w:sz="4" w:space="0" w:color="auto"/>
              <w:bottom w:val="single" w:sz="4" w:space="0" w:color="auto"/>
              <w:right w:val="nil"/>
            </w:tcBorders>
            <w:shd w:val="clear" w:color="000000" w:fill="DBE5F1"/>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GRAND TOTAL</w:t>
            </w:r>
          </w:p>
        </w:tc>
        <w:tc>
          <w:tcPr>
            <w:tcW w:w="574" w:type="pct"/>
            <w:tcBorders>
              <w:top w:val="nil"/>
              <w:left w:val="nil"/>
              <w:bottom w:val="single" w:sz="4" w:space="0" w:color="auto"/>
              <w:right w:val="nil"/>
            </w:tcBorders>
            <w:shd w:val="clear" w:color="000000" w:fill="DBE5F1"/>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96" w:type="pct"/>
            <w:gridSpan w:val="3"/>
            <w:tcBorders>
              <w:top w:val="nil"/>
              <w:left w:val="single" w:sz="4" w:space="0" w:color="auto"/>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7552</w:t>
            </w:r>
          </w:p>
        </w:tc>
        <w:tc>
          <w:tcPr>
            <w:tcW w:w="297"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£15.22</w:t>
            </w:r>
          </w:p>
        </w:tc>
        <w:tc>
          <w:tcPr>
            <w:tcW w:w="328"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87.27%</w:t>
            </w:r>
          </w:p>
        </w:tc>
        <w:tc>
          <w:tcPr>
            <w:tcW w:w="298"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1102</w:t>
            </w:r>
          </w:p>
        </w:tc>
        <w:tc>
          <w:tcPr>
            <w:tcW w:w="327"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£15.13</w:t>
            </w:r>
          </w:p>
        </w:tc>
        <w:tc>
          <w:tcPr>
            <w:tcW w:w="327"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12.73%</w:t>
            </w:r>
          </w:p>
        </w:tc>
        <w:tc>
          <w:tcPr>
            <w:tcW w:w="359"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-£0.09</w:t>
            </w:r>
          </w:p>
        </w:tc>
        <w:tc>
          <w:tcPr>
            <w:tcW w:w="359"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-0.61%</w:t>
            </w:r>
          </w:p>
        </w:tc>
        <w:tc>
          <w:tcPr>
            <w:tcW w:w="302"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8654</w:t>
            </w:r>
          </w:p>
        </w:tc>
        <w:tc>
          <w:tcPr>
            <w:tcW w:w="323" w:type="pct"/>
            <w:gridSpan w:val="2"/>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£15.21</w:t>
            </w:r>
          </w:p>
        </w:tc>
      </w:tr>
      <w:tr w:rsidR="00D57806" w:rsidRPr="00316BC9" w:rsidTr="006A3C1A">
        <w:trPr>
          <w:trHeight w:val="300"/>
        </w:trPr>
        <w:tc>
          <w:tcPr>
            <w:tcW w:w="2053" w:type="pct"/>
            <w:gridSpan w:val="5"/>
            <w:tcBorders>
              <w:top w:val="nil"/>
              <w:left w:val="nil"/>
              <w:bottom w:val="nil"/>
              <w:right w:val="nil"/>
            </w:tcBorders>
            <w:shd w:val="clear" w:color="auto" w:fill="auto"/>
            <w:noWrap/>
            <w:vAlign w:val="bottom"/>
            <w:hideMark/>
          </w:tcPr>
          <w:p w:rsidR="00D57806" w:rsidRDefault="00D57806" w:rsidP="00B86F77">
            <w:pPr>
              <w:rPr>
                <w:rFonts w:cs="Arial"/>
                <w:sz w:val="20"/>
                <w:lang w:eastAsia="en-GB"/>
              </w:rPr>
            </w:pPr>
            <w:r w:rsidRPr="00316BC9">
              <w:rPr>
                <w:rFonts w:cs="Arial"/>
                <w:sz w:val="20"/>
                <w:lang w:eastAsia="en-GB"/>
              </w:rPr>
              <w:lastRenderedPageBreak/>
              <w:t>Reporting Category:  Medical &amp; Dental</w:t>
            </w:r>
          </w:p>
          <w:p w:rsidR="006A3C1A" w:rsidRDefault="006A3C1A" w:rsidP="00B86F77">
            <w:pPr>
              <w:rPr>
                <w:rFonts w:cs="Arial"/>
                <w:sz w:val="20"/>
                <w:lang w:eastAsia="en-GB"/>
              </w:rPr>
            </w:pPr>
          </w:p>
          <w:p w:rsidR="006A3C1A" w:rsidRDefault="006A3C1A" w:rsidP="00B86F77">
            <w:pPr>
              <w:rPr>
                <w:rFonts w:cs="Arial"/>
                <w:b/>
                <w:bCs/>
                <w:sz w:val="20"/>
                <w:lang w:eastAsia="en-GB"/>
              </w:rPr>
            </w:pPr>
            <w:r w:rsidRPr="00316BC9">
              <w:rPr>
                <w:rFonts w:cs="Arial"/>
                <w:b/>
                <w:bCs/>
                <w:sz w:val="20"/>
                <w:lang w:eastAsia="en-GB"/>
              </w:rPr>
              <w:t>Gender Equal Pay Audit</w:t>
            </w:r>
          </w:p>
          <w:p w:rsidR="006A3C1A" w:rsidRPr="00316BC9" w:rsidRDefault="006A3C1A" w:rsidP="00B86F77">
            <w:pPr>
              <w:rPr>
                <w:rFonts w:cs="Arial"/>
                <w:sz w:val="20"/>
                <w:lang w:eastAsia="en-GB"/>
              </w:rPr>
            </w:pPr>
          </w:p>
        </w:tc>
        <w:tc>
          <w:tcPr>
            <w:tcW w:w="255"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283"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306"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263"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305"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305"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334"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334" w:type="pct"/>
            <w:gridSpan w:val="3"/>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257" w:type="pct"/>
            <w:gridSpan w:val="2"/>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c>
          <w:tcPr>
            <w:tcW w:w="305"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sz w:val="20"/>
                <w:lang w:eastAsia="en-GB"/>
              </w:rPr>
            </w:pPr>
          </w:p>
        </w:tc>
      </w:tr>
      <w:tr w:rsidR="000603DF" w:rsidRPr="000603DF" w:rsidTr="00571244">
        <w:trPr>
          <w:trHeight w:val="264"/>
        </w:trPr>
        <w:tc>
          <w:tcPr>
            <w:tcW w:w="755" w:type="pct"/>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894" w:type="pct"/>
            <w:gridSpan w:val="9"/>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Female</w:t>
            </w:r>
          </w:p>
        </w:tc>
        <w:tc>
          <w:tcPr>
            <w:tcW w:w="942" w:type="pct"/>
            <w:gridSpan w:val="9"/>
            <w:tcBorders>
              <w:top w:val="single" w:sz="4" w:space="0" w:color="auto"/>
              <w:left w:val="nil"/>
              <w:bottom w:val="single" w:sz="4" w:space="0" w:color="auto"/>
              <w:right w:val="single" w:sz="4" w:space="0" w:color="000000"/>
            </w:tcBorders>
            <w:shd w:val="clear" w:color="000000" w:fill="DBE5F1"/>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Male</w:t>
            </w:r>
          </w:p>
        </w:tc>
        <w:tc>
          <w:tcPr>
            <w:tcW w:w="359"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9"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60" w:type="pct"/>
            <w:gridSpan w:val="2"/>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3" w:type="pct"/>
            <w:gridSpan w:val="2"/>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r>
      <w:tr w:rsidR="000603DF" w:rsidRPr="000603DF" w:rsidTr="00571244">
        <w:trPr>
          <w:trHeight w:val="132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Medical &amp; Dental</w:t>
            </w:r>
          </w:p>
        </w:tc>
        <w:tc>
          <w:tcPr>
            <w:tcW w:w="1108"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Medical Grade</w:t>
            </w:r>
          </w:p>
        </w:tc>
        <w:tc>
          <w:tcPr>
            <w:tcW w:w="260"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Count</w:t>
            </w:r>
          </w:p>
        </w:tc>
        <w:tc>
          <w:tcPr>
            <w:tcW w:w="278"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proofErr w:type="spellStart"/>
            <w:r w:rsidRPr="006A3C1A">
              <w:rPr>
                <w:rFonts w:asciiTheme="minorHAnsi" w:hAnsiTheme="minorHAnsi" w:cstheme="minorHAnsi"/>
                <w:b/>
                <w:bCs/>
                <w:sz w:val="18"/>
                <w:szCs w:val="18"/>
                <w:lang w:eastAsia="en-GB"/>
              </w:rPr>
              <w:t>Avg</w:t>
            </w:r>
            <w:proofErr w:type="spellEnd"/>
            <w:r w:rsidRPr="006A3C1A">
              <w:rPr>
                <w:rFonts w:asciiTheme="minorHAnsi" w:hAnsiTheme="minorHAnsi" w:cstheme="minorHAnsi"/>
                <w:b/>
                <w:bCs/>
                <w:sz w:val="18"/>
                <w:szCs w:val="18"/>
                <w:lang w:eastAsia="en-GB"/>
              </w:rPr>
              <w:t xml:space="preserve"> Basic Hourly Rate</w:t>
            </w:r>
          </w:p>
        </w:tc>
        <w:tc>
          <w:tcPr>
            <w:tcW w:w="356"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of Staff Group</w:t>
            </w:r>
          </w:p>
        </w:tc>
        <w:tc>
          <w:tcPr>
            <w:tcW w:w="260"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Count</w:t>
            </w:r>
          </w:p>
        </w:tc>
        <w:tc>
          <w:tcPr>
            <w:tcW w:w="327"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Average of Basic Hourly Rate</w:t>
            </w:r>
          </w:p>
        </w:tc>
        <w:tc>
          <w:tcPr>
            <w:tcW w:w="355" w:type="pct"/>
            <w:gridSpan w:val="3"/>
            <w:tcBorders>
              <w:top w:val="nil"/>
              <w:left w:val="nil"/>
              <w:bottom w:val="nil"/>
              <w:right w:val="single" w:sz="4" w:space="0" w:color="auto"/>
            </w:tcBorders>
            <w:shd w:val="clear" w:color="000000" w:fill="DBE5F1"/>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of Staff Group</w:t>
            </w:r>
          </w:p>
        </w:tc>
        <w:tc>
          <w:tcPr>
            <w:tcW w:w="359" w:type="pct"/>
            <w:gridSpan w:val="3"/>
            <w:tcBorders>
              <w:top w:val="single" w:sz="4" w:space="0" w:color="auto"/>
              <w:left w:val="nil"/>
              <w:bottom w:val="nil"/>
              <w:right w:val="single" w:sz="4" w:space="0" w:color="auto"/>
            </w:tcBorders>
            <w:shd w:val="clear" w:color="auto" w:fill="auto"/>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Monetary Variance Male to Female</w:t>
            </w:r>
          </w:p>
        </w:tc>
        <w:tc>
          <w:tcPr>
            <w:tcW w:w="359" w:type="pct"/>
            <w:gridSpan w:val="3"/>
            <w:tcBorders>
              <w:top w:val="single" w:sz="4" w:space="0" w:color="auto"/>
              <w:left w:val="nil"/>
              <w:bottom w:val="nil"/>
              <w:right w:val="single" w:sz="4" w:space="0" w:color="auto"/>
            </w:tcBorders>
            <w:shd w:val="clear" w:color="auto" w:fill="auto"/>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Monetary Variance Male to Female %</w:t>
            </w:r>
          </w:p>
        </w:tc>
        <w:tc>
          <w:tcPr>
            <w:tcW w:w="260" w:type="pct"/>
            <w:gridSpan w:val="2"/>
            <w:tcBorders>
              <w:top w:val="single" w:sz="4" w:space="0" w:color="auto"/>
              <w:left w:val="nil"/>
              <w:bottom w:val="nil"/>
              <w:right w:val="single" w:sz="4" w:space="0" w:color="auto"/>
            </w:tcBorders>
            <w:shd w:val="clear" w:color="auto" w:fill="auto"/>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Total Count</w:t>
            </w:r>
          </w:p>
        </w:tc>
        <w:tc>
          <w:tcPr>
            <w:tcW w:w="323" w:type="pct"/>
            <w:gridSpan w:val="2"/>
            <w:tcBorders>
              <w:top w:val="single" w:sz="4" w:space="0" w:color="auto"/>
              <w:left w:val="nil"/>
              <w:bottom w:val="nil"/>
              <w:right w:val="single" w:sz="4" w:space="0" w:color="auto"/>
            </w:tcBorders>
            <w:shd w:val="clear" w:color="auto" w:fill="auto"/>
            <w:vAlign w:val="center"/>
            <w:hideMark/>
          </w:tcPr>
          <w:p w:rsidR="000603DF" w:rsidRPr="006A3C1A" w:rsidRDefault="000603DF" w:rsidP="000603DF">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Average of Basic Hourly Rate</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Associate Specialist</w:t>
            </w:r>
          </w:p>
        </w:tc>
        <w:tc>
          <w:tcPr>
            <w:tcW w:w="26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278"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6"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66.67%</w:t>
            </w:r>
          </w:p>
        </w:tc>
        <w:tc>
          <w:tcPr>
            <w:tcW w:w="260"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33.33%</w:t>
            </w:r>
          </w:p>
        </w:tc>
        <w:tc>
          <w:tcPr>
            <w:tcW w:w="359"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3" w:type="pct"/>
            <w:gridSpan w:val="2"/>
            <w:tcBorders>
              <w:top w:val="single" w:sz="4" w:space="0" w:color="auto"/>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44.55</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Clinical Director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Clinical Fellow</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19.42</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51.85%</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18.73</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48.15%</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-£0.69</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-3.70%</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27</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19.08</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Consultant</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47.72</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46.62%</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150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48.44</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53.38%</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£0.71</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1.47%</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281</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48.10</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Dental Officer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32.45</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87.50%</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24</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32.53</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Foundation House Officer Year 2</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66.67%</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33.33%</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17.44</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Locum Appointment Service</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Medical Director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Other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9</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47.19</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69.23%</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30.77%</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48.08</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Salaried GP</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44.36</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58.33%</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20</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40.94</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41.67%</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FF0000"/>
                <w:sz w:val="18"/>
                <w:szCs w:val="18"/>
                <w:lang w:eastAsia="en-GB"/>
              </w:rPr>
              <w:t>-£3.42</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-8.34%</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42.93</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Senior Dental Officer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83.33%</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16.67%</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39.20</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Specialist Registrar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Specialty Doctor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30.09</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55.56%</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24</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32.66</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44.44%</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£2.56</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7.85%</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54</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31.23</w:t>
            </w:r>
          </w:p>
        </w:tc>
      </w:tr>
      <w:tr w:rsidR="000603DF" w:rsidRPr="000603DF" w:rsidTr="00571244">
        <w:trPr>
          <w:trHeight w:val="264"/>
        </w:trPr>
        <w:tc>
          <w:tcPr>
            <w:tcW w:w="755" w:type="pct"/>
            <w:tcBorders>
              <w:top w:val="nil"/>
              <w:left w:val="single" w:sz="4" w:space="0" w:color="auto"/>
              <w:bottom w:val="nil"/>
              <w:right w:val="single" w:sz="4" w:space="0" w:color="auto"/>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08" w:type="pct"/>
            <w:gridSpan w:val="3"/>
            <w:tcBorders>
              <w:top w:val="nil"/>
              <w:left w:val="nil"/>
              <w:bottom w:val="nil"/>
              <w:right w:val="nil"/>
            </w:tcBorders>
            <w:shd w:val="clear" w:color="000000" w:fill="FFFFFF"/>
            <w:noWrap/>
            <w:vAlign w:val="bottom"/>
            <w:hideMark/>
          </w:tcPr>
          <w:p w:rsidR="000603DF" w:rsidRPr="006A3C1A" w:rsidRDefault="000603DF" w:rsidP="000603DF">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Specialty Registrar</w:t>
            </w:r>
          </w:p>
        </w:tc>
        <w:tc>
          <w:tcPr>
            <w:tcW w:w="260" w:type="pct"/>
            <w:gridSpan w:val="3"/>
            <w:tcBorders>
              <w:top w:val="nil"/>
              <w:left w:val="single" w:sz="4" w:space="0" w:color="auto"/>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w:t>
            </w:r>
          </w:p>
        </w:tc>
        <w:tc>
          <w:tcPr>
            <w:tcW w:w="278"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18.55</w:t>
            </w:r>
          </w:p>
        </w:tc>
        <w:tc>
          <w:tcPr>
            <w:tcW w:w="356"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61.54%</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27"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5"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38.46%</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13</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18.41</w:t>
            </w:r>
          </w:p>
        </w:tc>
      </w:tr>
      <w:tr w:rsidR="000603DF" w:rsidRPr="000603DF" w:rsidTr="00571244">
        <w:trPr>
          <w:trHeight w:val="288"/>
        </w:trPr>
        <w:tc>
          <w:tcPr>
            <w:tcW w:w="755" w:type="pct"/>
            <w:tcBorders>
              <w:top w:val="single" w:sz="4" w:space="0" w:color="auto"/>
              <w:left w:val="single" w:sz="4" w:space="0" w:color="auto"/>
              <w:bottom w:val="single" w:sz="4" w:space="0" w:color="auto"/>
              <w:right w:val="nil"/>
            </w:tcBorders>
            <w:shd w:val="clear" w:color="000000" w:fill="DBE5F1"/>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Grand Total</w:t>
            </w:r>
          </w:p>
        </w:tc>
        <w:tc>
          <w:tcPr>
            <w:tcW w:w="1108" w:type="pct"/>
            <w:gridSpan w:val="3"/>
            <w:tcBorders>
              <w:top w:val="single" w:sz="4" w:space="0" w:color="auto"/>
              <w:left w:val="nil"/>
              <w:bottom w:val="single" w:sz="4" w:space="0" w:color="auto"/>
              <w:right w:val="single" w:sz="4" w:space="0" w:color="auto"/>
            </w:tcBorders>
            <w:shd w:val="clear" w:color="000000" w:fill="DBE5F1"/>
            <w:noWrap/>
            <w:vAlign w:val="bottom"/>
            <w:hideMark/>
          </w:tcPr>
          <w:p w:rsidR="000603DF" w:rsidRPr="006A3C1A" w:rsidRDefault="000603DF" w:rsidP="000603DF">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w:t>
            </w:r>
          </w:p>
        </w:tc>
        <w:tc>
          <w:tcPr>
            <w:tcW w:w="260"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257</w:t>
            </w:r>
          </w:p>
        </w:tc>
        <w:tc>
          <w:tcPr>
            <w:tcW w:w="278"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40.67</w:t>
            </w:r>
          </w:p>
        </w:tc>
        <w:tc>
          <w:tcPr>
            <w:tcW w:w="356"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53.21%</w:t>
            </w:r>
          </w:p>
        </w:tc>
        <w:tc>
          <w:tcPr>
            <w:tcW w:w="260"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226</w:t>
            </w:r>
          </w:p>
        </w:tc>
        <w:tc>
          <w:tcPr>
            <w:tcW w:w="327"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43.12</w:t>
            </w:r>
          </w:p>
        </w:tc>
        <w:tc>
          <w:tcPr>
            <w:tcW w:w="355"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color w:val="000000"/>
                <w:sz w:val="18"/>
                <w:szCs w:val="18"/>
                <w:lang w:eastAsia="en-GB"/>
              </w:rPr>
            </w:pPr>
            <w:r w:rsidRPr="006A3C1A">
              <w:rPr>
                <w:rFonts w:asciiTheme="minorHAnsi" w:hAnsiTheme="minorHAnsi" w:cstheme="minorHAnsi"/>
                <w:b/>
                <w:bCs/>
                <w:color w:val="000000"/>
                <w:sz w:val="18"/>
                <w:szCs w:val="18"/>
                <w:lang w:eastAsia="en-GB"/>
              </w:rPr>
              <w:t>46.79%</w:t>
            </w:r>
          </w:p>
        </w:tc>
        <w:tc>
          <w:tcPr>
            <w:tcW w:w="359"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£2.45</w:t>
            </w:r>
          </w:p>
        </w:tc>
        <w:tc>
          <w:tcPr>
            <w:tcW w:w="359" w:type="pct"/>
            <w:gridSpan w:val="3"/>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5.68%</w:t>
            </w:r>
          </w:p>
        </w:tc>
        <w:tc>
          <w:tcPr>
            <w:tcW w:w="260" w:type="pct"/>
            <w:gridSpan w:val="2"/>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483</w:t>
            </w:r>
          </w:p>
        </w:tc>
        <w:tc>
          <w:tcPr>
            <w:tcW w:w="323" w:type="pct"/>
            <w:gridSpan w:val="2"/>
            <w:tcBorders>
              <w:top w:val="nil"/>
              <w:left w:val="nil"/>
              <w:bottom w:val="single" w:sz="4" w:space="0" w:color="auto"/>
              <w:right w:val="single" w:sz="4" w:space="0" w:color="auto"/>
            </w:tcBorders>
            <w:shd w:val="clear" w:color="000000" w:fill="DBE5F1"/>
            <w:noWrap/>
            <w:vAlign w:val="bottom"/>
            <w:hideMark/>
          </w:tcPr>
          <w:p w:rsidR="000603DF" w:rsidRPr="006A3C1A" w:rsidRDefault="000603DF" w:rsidP="000603DF">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41.82</w:t>
            </w:r>
          </w:p>
        </w:tc>
      </w:tr>
    </w:tbl>
    <w:p w:rsidR="00D57806" w:rsidRDefault="00D57806" w:rsidP="00D57806"/>
    <w:p w:rsidR="00D57806" w:rsidRDefault="00D57806" w:rsidP="00D57806"/>
    <w:p w:rsidR="00D57806" w:rsidRDefault="00D57806" w:rsidP="00D57806"/>
    <w:p w:rsidR="006A3C1A" w:rsidRDefault="006A3C1A" w:rsidP="00D57806"/>
    <w:p w:rsidR="006A3C1A" w:rsidRDefault="006A3C1A" w:rsidP="00D57806"/>
    <w:p w:rsidR="006A3C1A" w:rsidRDefault="006A3C1A" w:rsidP="00D57806"/>
    <w:p w:rsidR="006A3C1A" w:rsidRDefault="006A3C1A" w:rsidP="00D57806"/>
    <w:p w:rsidR="006A3C1A" w:rsidRDefault="006A3C1A" w:rsidP="00D57806"/>
    <w:p w:rsidR="00D57806" w:rsidRDefault="00D57806" w:rsidP="00D57806"/>
    <w:tbl>
      <w:tblPr>
        <w:tblW w:w="5000" w:type="pct"/>
        <w:tblLook w:val="04A0"/>
      </w:tblPr>
      <w:tblGrid>
        <w:gridCol w:w="2496"/>
        <w:gridCol w:w="3012"/>
        <w:gridCol w:w="787"/>
        <w:gridCol w:w="788"/>
        <w:gridCol w:w="848"/>
        <w:gridCol w:w="754"/>
        <w:gridCol w:w="927"/>
        <w:gridCol w:w="848"/>
        <w:gridCol w:w="1018"/>
        <w:gridCol w:w="1018"/>
        <w:gridCol w:w="754"/>
        <w:gridCol w:w="924"/>
      </w:tblGrid>
      <w:tr w:rsidR="00D57806" w:rsidRPr="00316BC9" w:rsidTr="00D57806">
        <w:trPr>
          <w:trHeight w:val="300"/>
        </w:trPr>
        <w:tc>
          <w:tcPr>
            <w:tcW w:w="1943" w:type="pct"/>
            <w:gridSpan w:val="2"/>
            <w:tcBorders>
              <w:top w:val="nil"/>
              <w:left w:val="nil"/>
              <w:bottom w:val="nil"/>
              <w:right w:val="nil"/>
            </w:tcBorders>
            <w:shd w:val="clear" w:color="auto" w:fill="auto"/>
            <w:noWrap/>
            <w:vAlign w:val="bottom"/>
            <w:hideMark/>
          </w:tcPr>
          <w:p w:rsidR="00D57806" w:rsidRPr="00316BC9" w:rsidRDefault="00D57806" w:rsidP="00B86F77">
            <w:pPr>
              <w:rPr>
                <w:rFonts w:cs="Arial"/>
                <w:sz w:val="20"/>
                <w:lang w:eastAsia="en-GB"/>
              </w:rPr>
            </w:pPr>
            <w:r w:rsidRPr="00316BC9">
              <w:rPr>
                <w:rFonts w:cs="Arial"/>
                <w:b/>
                <w:bCs/>
                <w:sz w:val="20"/>
                <w:lang w:eastAsia="en-GB"/>
              </w:rPr>
              <w:t xml:space="preserve">Reporting Category: </w:t>
            </w:r>
            <w:r w:rsidRPr="00316BC9">
              <w:rPr>
                <w:rFonts w:cs="Arial"/>
                <w:sz w:val="20"/>
                <w:lang w:eastAsia="en-GB"/>
              </w:rPr>
              <w:t xml:space="preserve"> Executive / Senior Manager</w:t>
            </w:r>
          </w:p>
        </w:tc>
        <w:tc>
          <w:tcPr>
            <w:tcW w:w="278"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78"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9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66"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27"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9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5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5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66"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27"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r>
      <w:tr w:rsidR="00D57806" w:rsidRPr="00316BC9" w:rsidTr="00D57806">
        <w:trPr>
          <w:trHeight w:val="300"/>
        </w:trPr>
        <w:tc>
          <w:tcPr>
            <w:tcW w:w="880" w:type="pct"/>
            <w:tcBorders>
              <w:top w:val="nil"/>
              <w:left w:val="nil"/>
              <w:bottom w:val="nil"/>
              <w:right w:val="nil"/>
            </w:tcBorders>
            <w:shd w:val="clear" w:color="auto" w:fill="auto"/>
            <w:noWrap/>
            <w:vAlign w:val="bottom"/>
            <w:hideMark/>
          </w:tcPr>
          <w:p w:rsidR="00D57806" w:rsidRPr="00316BC9" w:rsidRDefault="00D57806" w:rsidP="00B86F77">
            <w:pPr>
              <w:rPr>
                <w:rFonts w:cs="Arial"/>
                <w:b/>
                <w:bCs/>
                <w:sz w:val="20"/>
                <w:lang w:eastAsia="en-GB"/>
              </w:rPr>
            </w:pPr>
            <w:r w:rsidRPr="00316BC9">
              <w:rPr>
                <w:rFonts w:cs="Arial"/>
                <w:b/>
                <w:bCs/>
                <w:sz w:val="20"/>
                <w:lang w:eastAsia="en-GB"/>
              </w:rPr>
              <w:t>Gender Equal Pay Audit</w:t>
            </w:r>
          </w:p>
        </w:tc>
        <w:tc>
          <w:tcPr>
            <w:tcW w:w="1063"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78"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78"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9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66"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27"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9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5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59"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266"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c>
          <w:tcPr>
            <w:tcW w:w="327" w:type="pct"/>
            <w:tcBorders>
              <w:top w:val="nil"/>
              <w:left w:val="nil"/>
              <w:bottom w:val="nil"/>
              <w:right w:val="nil"/>
            </w:tcBorders>
            <w:shd w:val="clear" w:color="auto" w:fill="auto"/>
            <w:noWrap/>
            <w:vAlign w:val="bottom"/>
            <w:hideMark/>
          </w:tcPr>
          <w:p w:rsidR="00D57806" w:rsidRPr="00316BC9" w:rsidRDefault="00D57806" w:rsidP="00B86F77">
            <w:pPr>
              <w:rPr>
                <w:rFonts w:ascii="Calibri" w:hAnsi="Calibri" w:cs="Calibri"/>
                <w:color w:val="000000"/>
                <w:lang w:eastAsia="en-GB"/>
              </w:rPr>
            </w:pPr>
          </w:p>
        </w:tc>
      </w:tr>
    </w:tbl>
    <w:p w:rsidR="00D57806" w:rsidRDefault="00D57806">
      <w:pPr>
        <w:rPr>
          <w:sz w:val="22"/>
          <w:szCs w:val="22"/>
        </w:rPr>
      </w:pPr>
    </w:p>
    <w:tbl>
      <w:tblPr>
        <w:tblW w:w="5000" w:type="pct"/>
        <w:tblLook w:val="04A0"/>
      </w:tblPr>
      <w:tblGrid>
        <w:gridCol w:w="2244"/>
        <w:gridCol w:w="3228"/>
        <w:gridCol w:w="828"/>
        <w:gridCol w:w="828"/>
        <w:gridCol w:w="870"/>
        <w:gridCol w:w="828"/>
        <w:gridCol w:w="867"/>
        <w:gridCol w:w="870"/>
        <w:gridCol w:w="958"/>
        <w:gridCol w:w="958"/>
        <w:gridCol w:w="828"/>
        <w:gridCol w:w="867"/>
      </w:tblGrid>
      <w:tr w:rsidR="006A3C1A" w:rsidRPr="006A3C1A" w:rsidTr="006A3C1A">
        <w:trPr>
          <w:trHeight w:val="264"/>
        </w:trPr>
        <w:tc>
          <w:tcPr>
            <w:tcW w:w="792" w:type="pct"/>
            <w:tcBorders>
              <w:top w:val="nil"/>
              <w:left w:val="nil"/>
              <w:bottom w:val="nil"/>
              <w:right w:val="nil"/>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39" w:type="pct"/>
            <w:tcBorders>
              <w:top w:val="nil"/>
              <w:left w:val="nil"/>
              <w:bottom w:val="nil"/>
              <w:right w:val="nil"/>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891" w:type="pct"/>
            <w:gridSpan w:val="3"/>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6A3C1A" w:rsidRPr="006A3C1A" w:rsidRDefault="006A3C1A" w:rsidP="006A3C1A">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Female</w:t>
            </w:r>
          </w:p>
        </w:tc>
        <w:tc>
          <w:tcPr>
            <w:tcW w:w="905" w:type="pct"/>
            <w:gridSpan w:val="3"/>
            <w:tcBorders>
              <w:top w:val="single" w:sz="4" w:space="0" w:color="auto"/>
              <w:left w:val="nil"/>
              <w:bottom w:val="single" w:sz="4" w:space="0" w:color="auto"/>
              <w:right w:val="single" w:sz="4" w:space="0" w:color="000000"/>
            </w:tcBorders>
            <w:shd w:val="clear" w:color="000000" w:fill="DBE5F1"/>
            <w:noWrap/>
            <w:vAlign w:val="bottom"/>
            <w:hideMark/>
          </w:tcPr>
          <w:p w:rsidR="006A3C1A" w:rsidRPr="006A3C1A" w:rsidRDefault="006A3C1A" w:rsidP="006A3C1A">
            <w:pPr>
              <w:jc w:val="cente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Male</w:t>
            </w:r>
          </w:p>
        </w:tc>
        <w:tc>
          <w:tcPr>
            <w:tcW w:w="337" w:type="pct"/>
            <w:tcBorders>
              <w:top w:val="nil"/>
              <w:left w:val="nil"/>
              <w:bottom w:val="nil"/>
              <w:right w:val="nil"/>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37" w:type="pct"/>
            <w:tcBorders>
              <w:top w:val="nil"/>
              <w:left w:val="nil"/>
              <w:bottom w:val="nil"/>
              <w:right w:val="nil"/>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2" w:type="pct"/>
            <w:tcBorders>
              <w:top w:val="nil"/>
              <w:left w:val="nil"/>
              <w:bottom w:val="nil"/>
              <w:right w:val="nil"/>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06" w:type="pct"/>
            <w:tcBorders>
              <w:top w:val="nil"/>
              <w:left w:val="nil"/>
              <w:bottom w:val="nil"/>
              <w:right w:val="nil"/>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r>
      <w:tr w:rsidR="006A3C1A" w:rsidRPr="006A3C1A" w:rsidTr="006A3C1A">
        <w:trPr>
          <w:trHeight w:val="132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Job Family</w:t>
            </w:r>
          </w:p>
        </w:tc>
        <w:tc>
          <w:tcPr>
            <w:tcW w:w="1139" w:type="pct"/>
            <w:tcBorders>
              <w:top w:val="single" w:sz="4" w:space="0" w:color="auto"/>
              <w:left w:val="nil"/>
              <w:bottom w:val="nil"/>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Grade</w:t>
            </w:r>
          </w:p>
        </w:tc>
        <w:tc>
          <w:tcPr>
            <w:tcW w:w="292" w:type="pct"/>
            <w:tcBorders>
              <w:top w:val="nil"/>
              <w:left w:val="nil"/>
              <w:bottom w:val="nil"/>
              <w:right w:val="single" w:sz="4" w:space="0" w:color="auto"/>
            </w:tcBorders>
            <w:shd w:val="clear" w:color="000000" w:fill="DBE5F1"/>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Count</w:t>
            </w:r>
          </w:p>
        </w:tc>
        <w:tc>
          <w:tcPr>
            <w:tcW w:w="292" w:type="pct"/>
            <w:tcBorders>
              <w:top w:val="nil"/>
              <w:left w:val="nil"/>
              <w:bottom w:val="nil"/>
              <w:right w:val="single" w:sz="4" w:space="0" w:color="auto"/>
            </w:tcBorders>
            <w:shd w:val="clear" w:color="000000" w:fill="DBE5F1"/>
            <w:vAlign w:val="center"/>
            <w:hideMark/>
          </w:tcPr>
          <w:p w:rsidR="006A3C1A" w:rsidRPr="006A3C1A" w:rsidRDefault="006A3C1A" w:rsidP="006A3C1A">
            <w:pPr>
              <w:jc w:val="center"/>
              <w:rPr>
                <w:rFonts w:asciiTheme="minorHAnsi" w:hAnsiTheme="minorHAnsi" w:cstheme="minorHAnsi"/>
                <w:b/>
                <w:bCs/>
                <w:sz w:val="18"/>
                <w:szCs w:val="18"/>
                <w:lang w:eastAsia="en-GB"/>
              </w:rPr>
            </w:pPr>
            <w:proofErr w:type="spellStart"/>
            <w:r w:rsidRPr="006A3C1A">
              <w:rPr>
                <w:rFonts w:asciiTheme="minorHAnsi" w:hAnsiTheme="minorHAnsi" w:cstheme="minorHAnsi"/>
                <w:b/>
                <w:bCs/>
                <w:sz w:val="18"/>
                <w:szCs w:val="18"/>
                <w:lang w:eastAsia="en-GB"/>
              </w:rPr>
              <w:t>Avg</w:t>
            </w:r>
            <w:proofErr w:type="spellEnd"/>
            <w:r w:rsidRPr="006A3C1A">
              <w:rPr>
                <w:rFonts w:asciiTheme="minorHAnsi" w:hAnsiTheme="minorHAnsi" w:cstheme="minorHAnsi"/>
                <w:b/>
                <w:bCs/>
                <w:sz w:val="18"/>
                <w:szCs w:val="18"/>
                <w:lang w:eastAsia="en-GB"/>
              </w:rPr>
              <w:t xml:space="preserve"> Basic Hourly Rate</w:t>
            </w:r>
          </w:p>
        </w:tc>
        <w:tc>
          <w:tcPr>
            <w:tcW w:w="306" w:type="pct"/>
            <w:tcBorders>
              <w:top w:val="nil"/>
              <w:left w:val="nil"/>
              <w:bottom w:val="nil"/>
              <w:right w:val="single" w:sz="4" w:space="0" w:color="auto"/>
            </w:tcBorders>
            <w:shd w:val="clear" w:color="000000" w:fill="DBE5F1"/>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of Staff Group</w:t>
            </w:r>
          </w:p>
        </w:tc>
        <w:tc>
          <w:tcPr>
            <w:tcW w:w="292" w:type="pct"/>
            <w:tcBorders>
              <w:top w:val="nil"/>
              <w:left w:val="nil"/>
              <w:bottom w:val="nil"/>
              <w:right w:val="single" w:sz="4" w:space="0" w:color="auto"/>
            </w:tcBorders>
            <w:shd w:val="clear" w:color="000000" w:fill="DBE5F1"/>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Count</w:t>
            </w:r>
          </w:p>
        </w:tc>
        <w:tc>
          <w:tcPr>
            <w:tcW w:w="306" w:type="pct"/>
            <w:tcBorders>
              <w:top w:val="nil"/>
              <w:left w:val="nil"/>
              <w:bottom w:val="nil"/>
              <w:right w:val="single" w:sz="4" w:space="0" w:color="auto"/>
            </w:tcBorders>
            <w:shd w:val="clear" w:color="000000" w:fill="DBE5F1"/>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Average of Basic Hourly Rate</w:t>
            </w:r>
          </w:p>
        </w:tc>
        <w:tc>
          <w:tcPr>
            <w:tcW w:w="306" w:type="pct"/>
            <w:tcBorders>
              <w:top w:val="nil"/>
              <w:left w:val="nil"/>
              <w:bottom w:val="nil"/>
              <w:right w:val="single" w:sz="4" w:space="0" w:color="auto"/>
            </w:tcBorders>
            <w:shd w:val="clear" w:color="000000" w:fill="DBE5F1"/>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 of Staff Group</w:t>
            </w:r>
          </w:p>
        </w:tc>
        <w:tc>
          <w:tcPr>
            <w:tcW w:w="337" w:type="pct"/>
            <w:tcBorders>
              <w:top w:val="single" w:sz="4" w:space="0" w:color="auto"/>
              <w:left w:val="nil"/>
              <w:bottom w:val="nil"/>
              <w:right w:val="single" w:sz="4" w:space="0" w:color="auto"/>
            </w:tcBorders>
            <w:shd w:val="clear" w:color="auto" w:fill="auto"/>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Monetary Variance Male to Female</w:t>
            </w:r>
          </w:p>
        </w:tc>
        <w:tc>
          <w:tcPr>
            <w:tcW w:w="337" w:type="pct"/>
            <w:tcBorders>
              <w:top w:val="single" w:sz="4" w:space="0" w:color="auto"/>
              <w:left w:val="nil"/>
              <w:bottom w:val="nil"/>
              <w:right w:val="single" w:sz="4" w:space="0" w:color="auto"/>
            </w:tcBorders>
            <w:shd w:val="clear" w:color="auto" w:fill="auto"/>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Monetary Variance Male to Female %</w:t>
            </w:r>
          </w:p>
        </w:tc>
        <w:tc>
          <w:tcPr>
            <w:tcW w:w="292" w:type="pct"/>
            <w:tcBorders>
              <w:top w:val="single" w:sz="4" w:space="0" w:color="auto"/>
              <w:left w:val="nil"/>
              <w:bottom w:val="nil"/>
              <w:right w:val="single" w:sz="4" w:space="0" w:color="auto"/>
            </w:tcBorders>
            <w:shd w:val="clear" w:color="auto" w:fill="auto"/>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Total Count</w:t>
            </w:r>
          </w:p>
        </w:tc>
        <w:tc>
          <w:tcPr>
            <w:tcW w:w="306" w:type="pct"/>
            <w:tcBorders>
              <w:top w:val="single" w:sz="4" w:space="0" w:color="auto"/>
              <w:left w:val="nil"/>
              <w:bottom w:val="nil"/>
              <w:right w:val="single" w:sz="4" w:space="0" w:color="auto"/>
            </w:tcBorders>
            <w:shd w:val="clear" w:color="auto" w:fill="auto"/>
            <w:vAlign w:val="center"/>
            <w:hideMark/>
          </w:tcPr>
          <w:p w:rsidR="006A3C1A" w:rsidRPr="006A3C1A" w:rsidRDefault="006A3C1A" w:rsidP="006A3C1A">
            <w:pPr>
              <w:jc w:val="center"/>
              <w:rPr>
                <w:rFonts w:asciiTheme="minorHAnsi" w:hAnsiTheme="minorHAnsi" w:cstheme="minorHAnsi"/>
                <w:b/>
                <w:bCs/>
                <w:sz w:val="18"/>
                <w:szCs w:val="18"/>
                <w:lang w:eastAsia="en-GB"/>
              </w:rPr>
            </w:pPr>
            <w:r w:rsidRPr="006A3C1A">
              <w:rPr>
                <w:rFonts w:asciiTheme="minorHAnsi" w:hAnsiTheme="minorHAnsi" w:cstheme="minorHAnsi"/>
                <w:b/>
                <w:bCs/>
                <w:sz w:val="18"/>
                <w:szCs w:val="18"/>
                <w:lang w:eastAsia="en-GB"/>
              </w:rPr>
              <w:t>Average of Basic Hourly Rate</w:t>
            </w:r>
          </w:p>
        </w:tc>
      </w:tr>
      <w:tr w:rsidR="006A3C1A" w:rsidRPr="006A3C1A" w:rsidTr="006A3C1A">
        <w:trPr>
          <w:trHeight w:val="264"/>
        </w:trPr>
        <w:tc>
          <w:tcPr>
            <w:tcW w:w="792" w:type="pct"/>
            <w:tcBorders>
              <w:top w:val="nil"/>
              <w:left w:val="single" w:sz="4" w:space="0" w:color="auto"/>
              <w:bottom w:val="nil"/>
              <w:right w:val="single" w:sz="4" w:space="0" w:color="auto"/>
            </w:tcBorders>
            <w:shd w:val="clear" w:color="000000" w:fill="FFFFFF"/>
            <w:noWrap/>
            <w:vAlign w:val="bottom"/>
            <w:hideMark/>
          </w:tcPr>
          <w:p w:rsidR="006A3C1A" w:rsidRPr="006A3C1A" w:rsidRDefault="006A3C1A" w:rsidP="006A3C1A">
            <w:pPr>
              <w:rPr>
                <w:rFonts w:asciiTheme="minorHAnsi" w:hAnsiTheme="minorHAnsi" w:cstheme="minorHAnsi"/>
                <w:sz w:val="18"/>
                <w:szCs w:val="18"/>
                <w:lang w:eastAsia="en-GB"/>
              </w:rPr>
            </w:pPr>
            <w:r w:rsidRPr="006A3C1A">
              <w:rPr>
                <w:rFonts w:asciiTheme="minorHAnsi" w:hAnsiTheme="minorHAnsi" w:cstheme="minorHAnsi"/>
                <w:sz w:val="18"/>
                <w:szCs w:val="18"/>
                <w:lang w:eastAsia="en-GB"/>
              </w:rPr>
              <w:t>Executive / Senior Manager</w:t>
            </w:r>
          </w:p>
        </w:tc>
        <w:tc>
          <w:tcPr>
            <w:tcW w:w="1139"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Executive / Senior Manager Grade A</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sz w:val="18"/>
                <w:szCs w:val="18"/>
                <w:lang w:eastAsia="en-GB"/>
              </w:rPr>
            </w:pPr>
            <w:r w:rsidRPr="006A3C1A">
              <w:rPr>
                <w:rFonts w:asciiTheme="minorHAnsi" w:hAnsiTheme="minorHAnsi" w:cstheme="minorHAnsi"/>
                <w:sz w:val="18"/>
                <w:szCs w:val="18"/>
                <w:lang w:eastAsia="en-GB"/>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r>
      <w:tr w:rsidR="006A3C1A" w:rsidRPr="006A3C1A" w:rsidTr="006A3C1A">
        <w:trPr>
          <w:trHeight w:val="264"/>
        </w:trPr>
        <w:tc>
          <w:tcPr>
            <w:tcW w:w="792" w:type="pct"/>
            <w:tcBorders>
              <w:top w:val="nil"/>
              <w:left w:val="single" w:sz="4" w:space="0" w:color="auto"/>
              <w:bottom w:val="nil"/>
              <w:right w:val="single" w:sz="4" w:space="0" w:color="auto"/>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39"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Executive / Senior Manager Grade B</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r>
      <w:tr w:rsidR="006A3C1A" w:rsidRPr="006A3C1A" w:rsidTr="006A3C1A">
        <w:trPr>
          <w:trHeight w:val="264"/>
        </w:trPr>
        <w:tc>
          <w:tcPr>
            <w:tcW w:w="792" w:type="pct"/>
            <w:tcBorders>
              <w:top w:val="nil"/>
              <w:left w:val="single" w:sz="4" w:space="0" w:color="auto"/>
              <w:bottom w:val="nil"/>
              <w:right w:val="single" w:sz="4" w:space="0" w:color="auto"/>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39"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Executive / Senior Manager Grade C</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66.67%</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33.33%</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r>
      <w:tr w:rsidR="006A3C1A" w:rsidRPr="006A3C1A" w:rsidTr="006A3C1A">
        <w:trPr>
          <w:trHeight w:val="264"/>
        </w:trPr>
        <w:tc>
          <w:tcPr>
            <w:tcW w:w="792" w:type="pct"/>
            <w:tcBorders>
              <w:top w:val="nil"/>
              <w:left w:val="single" w:sz="4" w:space="0" w:color="auto"/>
              <w:bottom w:val="nil"/>
              <w:right w:val="single" w:sz="4" w:space="0" w:color="auto"/>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39"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Executive / Senior Manager Grade D</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50.00%</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2</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r>
      <w:tr w:rsidR="006A3C1A" w:rsidRPr="006A3C1A" w:rsidTr="006A3C1A">
        <w:trPr>
          <w:trHeight w:val="264"/>
        </w:trPr>
        <w:tc>
          <w:tcPr>
            <w:tcW w:w="792" w:type="pct"/>
            <w:tcBorders>
              <w:top w:val="nil"/>
              <w:left w:val="single" w:sz="4" w:space="0" w:color="auto"/>
              <w:bottom w:val="nil"/>
              <w:right w:val="single" w:sz="4" w:space="0" w:color="auto"/>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39"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Executive / Senior Manager Grade E</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sz w:val="18"/>
                <w:szCs w:val="18"/>
                <w:lang w:eastAsia="en-GB"/>
              </w:rPr>
            </w:pPr>
            <w:r w:rsidRPr="006A3C1A">
              <w:rPr>
                <w:rFonts w:asciiTheme="minorHAnsi" w:hAnsiTheme="minorHAnsi" w:cstheme="minorHAnsi"/>
                <w:sz w:val="18"/>
                <w:szCs w:val="18"/>
                <w:lang w:eastAsia="en-GB"/>
              </w:rPr>
              <w:t>48.86</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87.50%</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12.50%</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8</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sz w:val="18"/>
                <w:szCs w:val="18"/>
                <w:lang w:eastAsia="en-GB"/>
              </w:rPr>
            </w:pPr>
            <w:r w:rsidRPr="006A3C1A">
              <w:rPr>
                <w:rFonts w:asciiTheme="minorHAnsi" w:hAnsiTheme="minorHAnsi" w:cstheme="minorHAnsi"/>
                <w:sz w:val="18"/>
                <w:szCs w:val="18"/>
                <w:lang w:eastAsia="en-GB"/>
              </w:rPr>
              <w:t>49.30</w:t>
            </w:r>
          </w:p>
        </w:tc>
      </w:tr>
      <w:tr w:rsidR="006A3C1A" w:rsidRPr="006A3C1A" w:rsidTr="006A3C1A">
        <w:trPr>
          <w:trHeight w:val="264"/>
        </w:trPr>
        <w:tc>
          <w:tcPr>
            <w:tcW w:w="792" w:type="pct"/>
            <w:tcBorders>
              <w:top w:val="nil"/>
              <w:left w:val="single" w:sz="4" w:space="0" w:color="auto"/>
              <w:bottom w:val="single" w:sz="4" w:space="0" w:color="auto"/>
              <w:right w:val="single" w:sz="4" w:space="0" w:color="auto"/>
            </w:tcBorders>
            <w:shd w:val="clear" w:color="000000" w:fill="FFFFFF"/>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1139" w:type="pct"/>
            <w:tcBorders>
              <w:top w:val="nil"/>
              <w:left w:val="nil"/>
              <w:bottom w:val="nil"/>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Executive / Senior Manager Grade G</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100.00%</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0.00%</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337"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c>
          <w:tcPr>
            <w:tcW w:w="292"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w:t>
            </w:r>
          </w:p>
        </w:tc>
        <w:tc>
          <w:tcPr>
            <w:tcW w:w="306" w:type="pct"/>
            <w:tcBorders>
              <w:top w:val="nil"/>
              <w:left w:val="nil"/>
              <w:bottom w:val="single" w:sz="4" w:space="0" w:color="auto"/>
              <w:right w:val="single" w:sz="4" w:space="0" w:color="auto"/>
            </w:tcBorders>
            <w:shd w:val="clear" w:color="auto" w:fill="auto"/>
            <w:noWrap/>
            <w:vAlign w:val="bottom"/>
            <w:hideMark/>
          </w:tcPr>
          <w:p w:rsidR="006A3C1A" w:rsidRPr="006A3C1A" w:rsidRDefault="006A3C1A" w:rsidP="006A3C1A">
            <w:pPr>
              <w:jc w:val="center"/>
              <w:rPr>
                <w:rFonts w:asciiTheme="minorHAnsi" w:hAnsiTheme="minorHAnsi" w:cstheme="minorHAnsi"/>
                <w:sz w:val="18"/>
                <w:szCs w:val="18"/>
                <w:lang w:eastAsia="en-GB"/>
              </w:rPr>
            </w:pPr>
            <w:r w:rsidRPr="006A3C1A">
              <w:rPr>
                <w:rFonts w:asciiTheme="minorHAnsi" w:hAnsiTheme="minorHAnsi" w:cstheme="minorHAnsi"/>
                <w:sz w:val="18"/>
                <w:szCs w:val="18"/>
                <w:lang w:eastAsia="en-GB"/>
              </w:rPr>
              <w:t>*</w:t>
            </w:r>
          </w:p>
        </w:tc>
      </w:tr>
      <w:tr w:rsidR="006A3C1A" w:rsidRPr="006A3C1A" w:rsidTr="006A3C1A">
        <w:trPr>
          <w:trHeight w:val="264"/>
        </w:trPr>
        <w:tc>
          <w:tcPr>
            <w:tcW w:w="792" w:type="pct"/>
            <w:tcBorders>
              <w:top w:val="nil"/>
              <w:left w:val="single" w:sz="4" w:space="0" w:color="auto"/>
              <w:bottom w:val="single" w:sz="4" w:space="0" w:color="auto"/>
              <w:right w:val="nil"/>
            </w:tcBorders>
            <w:shd w:val="clear" w:color="000000" w:fill="DBE5F1"/>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Grand Total</w:t>
            </w:r>
          </w:p>
        </w:tc>
        <w:tc>
          <w:tcPr>
            <w:tcW w:w="1139" w:type="pct"/>
            <w:tcBorders>
              <w:top w:val="single" w:sz="4" w:space="0" w:color="auto"/>
              <w:left w:val="nil"/>
              <w:bottom w:val="single" w:sz="4" w:space="0" w:color="auto"/>
              <w:right w:val="single" w:sz="4" w:space="0" w:color="auto"/>
            </w:tcBorders>
            <w:shd w:val="clear" w:color="000000" w:fill="DBE5F1"/>
            <w:noWrap/>
            <w:vAlign w:val="bottom"/>
            <w:hideMark/>
          </w:tcPr>
          <w:p w:rsidR="006A3C1A" w:rsidRPr="006A3C1A" w:rsidRDefault="006A3C1A" w:rsidP="006A3C1A">
            <w:pPr>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 </w:t>
            </w:r>
          </w:p>
        </w:tc>
        <w:tc>
          <w:tcPr>
            <w:tcW w:w="292"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10</w:t>
            </w:r>
          </w:p>
        </w:tc>
        <w:tc>
          <w:tcPr>
            <w:tcW w:w="292"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£46.96</w:t>
            </w:r>
          </w:p>
        </w:tc>
        <w:tc>
          <w:tcPr>
            <w:tcW w:w="306"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sz w:val="18"/>
                <w:szCs w:val="18"/>
                <w:lang w:eastAsia="en-GB"/>
              </w:rPr>
            </w:pPr>
            <w:r w:rsidRPr="006A3C1A">
              <w:rPr>
                <w:rFonts w:asciiTheme="minorHAnsi" w:hAnsiTheme="minorHAnsi" w:cstheme="minorHAnsi"/>
                <w:sz w:val="18"/>
                <w:szCs w:val="18"/>
                <w:lang w:eastAsia="en-GB"/>
              </w:rPr>
              <w:t>62.50%</w:t>
            </w:r>
          </w:p>
        </w:tc>
        <w:tc>
          <w:tcPr>
            <w:tcW w:w="292"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5</w:t>
            </w:r>
          </w:p>
        </w:tc>
        <w:tc>
          <w:tcPr>
            <w:tcW w:w="306"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£43.62</w:t>
            </w:r>
          </w:p>
        </w:tc>
        <w:tc>
          <w:tcPr>
            <w:tcW w:w="306"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sz w:val="18"/>
                <w:szCs w:val="18"/>
                <w:lang w:eastAsia="en-GB"/>
              </w:rPr>
            </w:pPr>
            <w:r w:rsidRPr="006A3C1A">
              <w:rPr>
                <w:rFonts w:asciiTheme="minorHAnsi" w:hAnsiTheme="minorHAnsi" w:cstheme="minorHAnsi"/>
                <w:sz w:val="18"/>
                <w:szCs w:val="18"/>
                <w:lang w:eastAsia="en-GB"/>
              </w:rPr>
              <w:t>31.25%</w:t>
            </w:r>
          </w:p>
        </w:tc>
        <w:tc>
          <w:tcPr>
            <w:tcW w:w="337"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-£3.34</w:t>
            </w:r>
          </w:p>
        </w:tc>
        <w:tc>
          <w:tcPr>
            <w:tcW w:w="337"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-7.67%</w:t>
            </w:r>
          </w:p>
        </w:tc>
        <w:tc>
          <w:tcPr>
            <w:tcW w:w="292"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16</w:t>
            </w:r>
          </w:p>
        </w:tc>
        <w:tc>
          <w:tcPr>
            <w:tcW w:w="306" w:type="pct"/>
            <w:tcBorders>
              <w:top w:val="nil"/>
              <w:left w:val="nil"/>
              <w:bottom w:val="single" w:sz="4" w:space="0" w:color="auto"/>
              <w:right w:val="single" w:sz="4" w:space="0" w:color="auto"/>
            </w:tcBorders>
            <w:shd w:val="clear" w:color="000000" w:fill="DBE5F1"/>
            <w:noWrap/>
            <w:vAlign w:val="bottom"/>
            <w:hideMark/>
          </w:tcPr>
          <w:p w:rsidR="006A3C1A" w:rsidRPr="006A3C1A" w:rsidRDefault="006A3C1A" w:rsidP="006A3C1A">
            <w:pPr>
              <w:jc w:val="right"/>
              <w:rPr>
                <w:rFonts w:asciiTheme="minorHAnsi" w:hAnsiTheme="minorHAnsi" w:cstheme="minorHAnsi"/>
                <w:color w:val="000000"/>
                <w:sz w:val="18"/>
                <w:szCs w:val="18"/>
                <w:lang w:eastAsia="en-GB"/>
              </w:rPr>
            </w:pPr>
            <w:r w:rsidRPr="006A3C1A">
              <w:rPr>
                <w:rFonts w:asciiTheme="minorHAnsi" w:hAnsiTheme="minorHAnsi" w:cstheme="minorHAnsi"/>
                <w:color w:val="000000"/>
                <w:sz w:val="18"/>
                <w:szCs w:val="18"/>
                <w:lang w:eastAsia="en-GB"/>
              </w:rPr>
              <w:t>£45.92</w:t>
            </w:r>
          </w:p>
        </w:tc>
      </w:tr>
    </w:tbl>
    <w:p w:rsidR="00D57806" w:rsidRPr="003A5A55" w:rsidRDefault="00D57806">
      <w:pPr>
        <w:rPr>
          <w:sz w:val="22"/>
          <w:szCs w:val="22"/>
        </w:rPr>
      </w:pPr>
    </w:p>
    <w:sectPr w:rsidR="00D57806" w:rsidRPr="003A5A55" w:rsidSect="00D57806">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5C" w:rsidRDefault="00FA285C" w:rsidP="007C4E44">
      <w:r>
        <w:separator/>
      </w:r>
    </w:p>
  </w:endnote>
  <w:endnote w:type="continuationSeparator" w:id="0">
    <w:p w:rsidR="00FA285C" w:rsidRDefault="00FA285C" w:rsidP="007C4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5C" w:rsidRDefault="00FA285C" w:rsidP="007C4E44">
      <w:r>
        <w:separator/>
      </w:r>
    </w:p>
  </w:footnote>
  <w:footnote w:type="continuationSeparator" w:id="0">
    <w:p w:rsidR="00FA285C" w:rsidRDefault="00FA285C" w:rsidP="007C4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5C" w:rsidRDefault="00FA285C">
    <w:pPr>
      <w:pStyle w:val="Header"/>
    </w:pPr>
    <w:r>
      <w:t>Appendix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6A6"/>
    <w:multiLevelType w:val="hybridMultilevel"/>
    <w:tmpl w:val="4544A430"/>
    <w:lvl w:ilvl="0" w:tplc="4EAC81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BD436F"/>
    <w:multiLevelType w:val="hybridMultilevel"/>
    <w:tmpl w:val="5DF4E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trackRevisions/>
  <w:defaultTabStop w:val="720"/>
  <w:characterSpacingControl w:val="doNotCompress"/>
  <w:footnotePr>
    <w:footnote w:id="-1"/>
    <w:footnote w:id="0"/>
  </w:footnotePr>
  <w:endnotePr>
    <w:endnote w:id="-1"/>
    <w:endnote w:id="0"/>
  </w:endnotePr>
  <w:compat/>
  <w:rsids>
    <w:rsidRoot w:val="0094353A"/>
    <w:rsid w:val="000603DF"/>
    <w:rsid w:val="0006071F"/>
    <w:rsid w:val="00061074"/>
    <w:rsid w:val="00071887"/>
    <w:rsid w:val="000B3717"/>
    <w:rsid w:val="000F2632"/>
    <w:rsid w:val="00103769"/>
    <w:rsid w:val="00103A35"/>
    <w:rsid w:val="00117BC7"/>
    <w:rsid w:val="0018062E"/>
    <w:rsid w:val="00183E63"/>
    <w:rsid w:val="00193004"/>
    <w:rsid w:val="001A5791"/>
    <w:rsid w:val="0020039A"/>
    <w:rsid w:val="00226B6E"/>
    <w:rsid w:val="002355F6"/>
    <w:rsid w:val="00243FD2"/>
    <w:rsid w:val="002575D5"/>
    <w:rsid w:val="00263712"/>
    <w:rsid w:val="00266074"/>
    <w:rsid w:val="002A4F90"/>
    <w:rsid w:val="002D1E7D"/>
    <w:rsid w:val="003432B6"/>
    <w:rsid w:val="003647D2"/>
    <w:rsid w:val="00376056"/>
    <w:rsid w:val="0039082A"/>
    <w:rsid w:val="003962A2"/>
    <w:rsid w:val="003A5A55"/>
    <w:rsid w:val="003D634D"/>
    <w:rsid w:val="003F2646"/>
    <w:rsid w:val="00410312"/>
    <w:rsid w:val="00413A5E"/>
    <w:rsid w:val="00490318"/>
    <w:rsid w:val="00497631"/>
    <w:rsid w:val="004B051F"/>
    <w:rsid w:val="004B2E36"/>
    <w:rsid w:val="004C47B4"/>
    <w:rsid w:val="00507515"/>
    <w:rsid w:val="00517B06"/>
    <w:rsid w:val="00533FE3"/>
    <w:rsid w:val="00571244"/>
    <w:rsid w:val="005806C1"/>
    <w:rsid w:val="00583BC1"/>
    <w:rsid w:val="0059566E"/>
    <w:rsid w:val="005A4B18"/>
    <w:rsid w:val="005C3AFB"/>
    <w:rsid w:val="005C3E16"/>
    <w:rsid w:val="005E32A6"/>
    <w:rsid w:val="00632007"/>
    <w:rsid w:val="00632C6B"/>
    <w:rsid w:val="00646217"/>
    <w:rsid w:val="006941D1"/>
    <w:rsid w:val="006A1820"/>
    <w:rsid w:val="006A3C1A"/>
    <w:rsid w:val="006C508E"/>
    <w:rsid w:val="006F3987"/>
    <w:rsid w:val="007041D7"/>
    <w:rsid w:val="00720EA5"/>
    <w:rsid w:val="00751BB7"/>
    <w:rsid w:val="00790A17"/>
    <w:rsid w:val="007C0D86"/>
    <w:rsid w:val="007C4E44"/>
    <w:rsid w:val="007F5963"/>
    <w:rsid w:val="00821AB1"/>
    <w:rsid w:val="00831878"/>
    <w:rsid w:val="008410C1"/>
    <w:rsid w:val="00851063"/>
    <w:rsid w:val="00871C98"/>
    <w:rsid w:val="008B2FF7"/>
    <w:rsid w:val="008B780C"/>
    <w:rsid w:val="008E376D"/>
    <w:rsid w:val="00906AB3"/>
    <w:rsid w:val="00933356"/>
    <w:rsid w:val="00936007"/>
    <w:rsid w:val="0094312C"/>
    <w:rsid w:val="0094353A"/>
    <w:rsid w:val="009C18A1"/>
    <w:rsid w:val="009D1FF1"/>
    <w:rsid w:val="009E02EF"/>
    <w:rsid w:val="009E4631"/>
    <w:rsid w:val="00A159E9"/>
    <w:rsid w:val="00A25A0C"/>
    <w:rsid w:val="00A81670"/>
    <w:rsid w:val="00B86AFD"/>
    <w:rsid w:val="00B86F77"/>
    <w:rsid w:val="00B91A91"/>
    <w:rsid w:val="00BA2252"/>
    <w:rsid w:val="00BB44FA"/>
    <w:rsid w:val="00BC100C"/>
    <w:rsid w:val="00C35E7B"/>
    <w:rsid w:val="00C379D7"/>
    <w:rsid w:val="00C41575"/>
    <w:rsid w:val="00C44906"/>
    <w:rsid w:val="00C46992"/>
    <w:rsid w:val="00C73D94"/>
    <w:rsid w:val="00C81338"/>
    <w:rsid w:val="00CD5EE8"/>
    <w:rsid w:val="00CE68EC"/>
    <w:rsid w:val="00D111BE"/>
    <w:rsid w:val="00D40F44"/>
    <w:rsid w:val="00D4257B"/>
    <w:rsid w:val="00D577EE"/>
    <w:rsid w:val="00D57806"/>
    <w:rsid w:val="00D935BE"/>
    <w:rsid w:val="00DC06FF"/>
    <w:rsid w:val="00E020BC"/>
    <w:rsid w:val="00E04E9A"/>
    <w:rsid w:val="00E23A3B"/>
    <w:rsid w:val="00E71AE5"/>
    <w:rsid w:val="00F065F3"/>
    <w:rsid w:val="00F156F2"/>
    <w:rsid w:val="00F25773"/>
    <w:rsid w:val="00F773E8"/>
    <w:rsid w:val="00FA285C"/>
    <w:rsid w:val="00FF77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3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E44"/>
    <w:pPr>
      <w:tabs>
        <w:tab w:val="center" w:pos="4513"/>
        <w:tab w:val="right" w:pos="9026"/>
      </w:tabs>
    </w:pPr>
  </w:style>
  <w:style w:type="character" w:customStyle="1" w:styleId="HeaderChar">
    <w:name w:val="Header Char"/>
    <w:basedOn w:val="DefaultParagraphFont"/>
    <w:link w:val="Header"/>
    <w:uiPriority w:val="99"/>
    <w:rsid w:val="007C4E44"/>
    <w:rPr>
      <w:rFonts w:ascii="Arial" w:eastAsia="Times New Roman" w:hAnsi="Arial" w:cs="Times New Roman"/>
      <w:sz w:val="24"/>
      <w:szCs w:val="20"/>
    </w:rPr>
  </w:style>
  <w:style w:type="paragraph" w:styleId="Footer">
    <w:name w:val="footer"/>
    <w:basedOn w:val="Normal"/>
    <w:link w:val="FooterChar"/>
    <w:uiPriority w:val="99"/>
    <w:semiHidden/>
    <w:unhideWhenUsed/>
    <w:rsid w:val="007C4E44"/>
    <w:pPr>
      <w:tabs>
        <w:tab w:val="center" w:pos="4513"/>
        <w:tab w:val="right" w:pos="9026"/>
      </w:tabs>
    </w:pPr>
  </w:style>
  <w:style w:type="character" w:customStyle="1" w:styleId="FooterChar">
    <w:name w:val="Footer Char"/>
    <w:basedOn w:val="DefaultParagraphFont"/>
    <w:link w:val="Footer"/>
    <w:uiPriority w:val="99"/>
    <w:semiHidden/>
    <w:rsid w:val="007C4E4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C4E44"/>
    <w:rPr>
      <w:rFonts w:ascii="Tahoma" w:hAnsi="Tahoma" w:cs="Tahoma"/>
      <w:sz w:val="16"/>
      <w:szCs w:val="16"/>
    </w:rPr>
  </w:style>
  <w:style w:type="character" w:customStyle="1" w:styleId="BalloonTextChar">
    <w:name w:val="Balloon Text Char"/>
    <w:basedOn w:val="DefaultParagraphFont"/>
    <w:link w:val="BalloonText"/>
    <w:uiPriority w:val="99"/>
    <w:semiHidden/>
    <w:rsid w:val="007C4E44"/>
    <w:rPr>
      <w:rFonts w:ascii="Tahoma" w:eastAsia="Times New Roman" w:hAnsi="Tahoma" w:cs="Tahoma"/>
      <w:sz w:val="16"/>
      <w:szCs w:val="16"/>
    </w:rPr>
  </w:style>
  <w:style w:type="paragraph" w:styleId="ListParagraph">
    <w:name w:val="List Paragraph"/>
    <w:basedOn w:val="Normal"/>
    <w:uiPriority w:val="34"/>
    <w:qFormat/>
    <w:rsid w:val="00F156F2"/>
    <w:pPr>
      <w:ind w:left="720"/>
      <w:contextualSpacing/>
    </w:pPr>
  </w:style>
  <w:style w:type="character" w:styleId="Hyperlink">
    <w:name w:val="Hyperlink"/>
    <w:basedOn w:val="DefaultParagraphFont"/>
    <w:uiPriority w:val="99"/>
    <w:semiHidden/>
    <w:unhideWhenUsed/>
    <w:rsid w:val="00D57806"/>
    <w:rPr>
      <w:color w:val="0000FF"/>
      <w:u w:val="single"/>
    </w:rPr>
  </w:style>
  <w:style w:type="character" w:styleId="FollowedHyperlink">
    <w:name w:val="FollowedHyperlink"/>
    <w:basedOn w:val="DefaultParagraphFont"/>
    <w:uiPriority w:val="99"/>
    <w:semiHidden/>
    <w:unhideWhenUsed/>
    <w:rsid w:val="00D57806"/>
    <w:rPr>
      <w:color w:val="800080"/>
      <w:u w:val="single"/>
    </w:rPr>
  </w:style>
  <w:style w:type="paragraph" w:customStyle="1" w:styleId="xl63">
    <w:name w:val="xl63"/>
    <w:basedOn w:val="Normal"/>
    <w:rsid w:val="00D57806"/>
    <w:pPr>
      <w:spacing w:before="100" w:beforeAutospacing="1" w:after="100" w:afterAutospacing="1"/>
    </w:pPr>
    <w:rPr>
      <w:rFonts w:cs="Arial"/>
      <w:sz w:val="20"/>
      <w:lang w:eastAsia="en-GB"/>
    </w:rPr>
  </w:style>
  <w:style w:type="paragraph" w:customStyle="1" w:styleId="xl64">
    <w:name w:val="xl64"/>
    <w:basedOn w:val="Normal"/>
    <w:rsid w:val="00D57806"/>
    <w:pPr>
      <w:spacing w:before="100" w:beforeAutospacing="1" w:after="100" w:afterAutospacing="1"/>
    </w:pPr>
    <w:rPr>
      <w:rFonts w:cs="Arial"/>
      <w:b/>
      <w:bCs/>
      <w:sz w:val="20"/>
      <w:lang w:eastAsia="en-GB"/>
    </w:rPr>
  </w:style>
  <w:style w:type="paragraph" w:customStyle="1" w:styleId="xl65">
    <w:name w:val="xl65"/>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eastAsia="en-GB"/>
    </w:rPr>
  </w:style>
  <w:style w:type="paragraph" w:customStyle="1" w:styleId="xl66">
    <w:name w:val="xl66"/>
    <w:basedOn w:val="Normal"/>
    <w:rsid w:val="00D57806"/>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rFonts w:cs="Arial"/>
      <w:b/>
      <w:bCs/>
      <w:sz w:val="20"/>
      <w:lang w:eastAsia="en-GB"/>
    </w:rPr>
  </w:style>
  <w:style w:type="paragraph" w:customStyle="1" w:styleId="xl67">
    <w:name w:val="xl67"/>
    <w:basedOn w:val="Normal"/>
    <w:rsid w:val="00D57806"/>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0"/>
      <w:lang w:eastAsia="en-GB"/>
    </w:rPr>
  </w:style>
  <w:style w:type="paragraph" w:customStyle="1" w:styleId="xl68">
    <w:name w:val="xl68"/>
    <w:basedOn w:val="Normal"/>
    <w:rsid w:val="00D57806"/>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69">
    <w:name w:val="xl69"/>
    <w:basedOn w:val="Normal"/>
    <w:rsid w:val="00D57806"/>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lang w:eastAsia="en-GB"/>
    </w:rPr>
  </w:style>
  <w:style w:type="paragraph" w:customStyle="1" w:styleId="xl70">
    <w:name w:val="xl70"/>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71">
    <w:name w:val="xl71"/>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lang w:eastAsia="en-GB"/>
    </w:rPr>
  </w:style>
  <w:style w:type="paragraph" w:customStyle="1" w:styleId="xl72">
    <w:name w:val="xl72"/>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73">
    <w:name w:val="xl73"/>
    <w:basedOn w:val="Normal"/>
    <w:rsid w:val="00D57806"/>
    <w:pPr>
      <w:pBdr>
        <w:left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74">
    <w:name w:val="xl74"/>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75">
    <w:name w:val="xl75"/>
    <w:basedOn w:val="Normal"/>
    <w:rsid w:val="00D57806"/>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76">
    <w:name w:val="xl76"/>
    <w:basedOn w:val="Normal"/>
    <w:rsid w:val="00D57806"/>
    <w:pPr>
      <w:pBdr>
        <w:top w:val="single" w:sz="4" w:space="0" w:color="auto"/>
        <w:left w:val="single" w:sz="4" w:space="0" w:color="auto"/>
        <w:bottom w:val="single" w:sz="4" w:space="0" w:color="auto"/>
      </w:pBdr>
      <w:spacing w:before="100" w:beforeAutospacing="1" w:after="100" w:afterAutospacing="1"/>
    </w:pPr>
    <w:rPr>
      <w:rFonts w:cs="Arial"/>
      <w:b/>
      <w:bCs/>
      <w:sz w:val="20"/>
      <w:lang w:eastAsia="en-GB"/>
    </w:rPr>
  </w:style>
  <w:style w:type="paragraph" w:customStyle="1" w:styleId="xl77">
    <w:name w:val="xl77"/>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eastAsia="en-GB"/>
    </w:rPr>
  </w:style>
  <w:style w:type="paragraph" w:customStyle="1" w:styleId="xl78">
    <w:name w:val="xl78"/>
    <w:basedOn w:val="Normal"/>
    <w:rsid w:val="00D57806"/>
    <w:pPr>
      <w:pBdr>
        <w:left w:val="single" w:sz="4" w:space="0" w:color="auto"/>
        <w:bottom w:val="single" w:sz="4" w:space="0" w:color="auto"/>
      </w:pBdr>
      <w:spacing w:before="100" w:beforeAutospacing="1" w:after="100" w:afterAutospacing="1"/>
    </w:pPr>
    <w:rPr>
      <w:rFonts w:ascii="Times New Roman" w:hAnsi="Times New Roman"/>
      <w:szCs w:val="24"/>
      <w:lang w:eastAsia="en-GB"/>
    </w:rPr>
  </w:style>
  <w:style w:type="paragraph" w:customStyle="1" w:styleId="xl79">
    <w:name w:val="xl79"/>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0">
    <w:name w:val="xl80"/>
    <w:basedOn w:val="Normal"/>
    <w:rsid w:val="00D57806"/>
    <w:pPr>
      <w:pBdr>
        <w:top w:val="single" w:sz="4" w:space="0" w:color="auto"/>
        <w:bottom w:val="single" w:sz="4" w:space="0" w:color="auto"/>
      </w:pBdr>
      <w:spacing w:before="100" w:beforeAutospacing="1" w:after="100" w:afterAutospacing="1"/>
    </w:pPr>
    <w:rPr>
      <w:rFonts w:cs="Arial"/>
      <w:b/>
      <w:bCs/>
      <w:sz w:val="20"/>
      <w:lang w:eastAsia="en-GB"/>
    </w:rPr>
  </w:style>
  <w:style w:type="paragraph" w:customStyle="1" w:styleId="xl81">
    <w:name w:val="xl81"/>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0"/>
      <w:lang w:eastAsia="en-GB"/>
    </w:rPr>
  </w:style>
  <w:style w:type="paragraph" w:customStyle="1" w:styleId="xl82">
    <w:name w:val="xl82"/>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D57806"/>
    <w:pPr>
      <w:pBdr>
        <w:top w:val="single" w:sz="4" w:space="0" w:color="auto"/>
        <w:left w:val="single" w:sz="4" w:space="0" w:color="auto"/>
      </w:pBdr>
      <w:spacing w:before="100" w:beforeAutospacing="1" w:after="100" w:afterAutospacing="1"/>
    </w:pPr>
    <w:rPr>
      <w:rFonts w:ascii="Times New Roman" w:hAnsi="Times New Roman"/>
      <w:szCs w:val="24"/>
      <w:lang w:eastAsia="en-GB"/>
    </w:rPr>
  </w:style>
  <w:style w:type="paragraph" w:customStyle="1" w:styleId="xl84">
    <w:name w:val="xl84"/>
    <w:basedOn w:val="Normal"/>
    <w:rsid w:val="00D57806"/>
    <w:pPr>
      <w:pBdr>
        <w:top w:val="single" w:sz="4" w:space="0" w:color="auto"/>
        <w:left w:val="single" w:sz="4" w:space="0" w:color="auto"/>
        <w:bottom w:val="single" w:sz="4" w:space="0" w:color="auto"/>
      </w:pBdr>
      <w:shd w:val="clear" w:color="000000" w:fill="DBE5F1"/>
      <w:spacing w:before="100" w:beforeAutospacing="1" w:after="100" w:afterAutospacing="1"/>
    </w:pPr>
    <w:rPr>
      <w:rFonts w:cs="Arial"/>
      <w:b/>
      <w:bCs/>
      <w:sz w:val="20"/>
      <w:lang w:eastAsia="en-GB"/>
    </w:rPr>
  </w:style>
  <w:style w:type="paragraph" w:customStyle="1" w:styleId="xl85">
    <w:name w:val="xl85"/>
    <w:basedOn w:val="Normal"/>
    <w:rsid w:val="00D57806"/>
    <w:pPr>
      <w:pBdr>
        <w:top w:val="single" w:sz="4" w:space="0" w:color="auto"/>
        <w:bottom w:val="single" w:sz="4" w:space="0" w:color="auto"/>
      </w:pBdr>
      <w:shd w:val="clear" w:color="000000" w:fill="DBE5F1"/>
      <w:spacing w:before="100" w:beforeAutospacing="1" w:after="100" w:afterAutospacing="1"/>
    </w:pPr>
    <w:rPr>
      <w:rFonts w:cs="Arial"/>
      <w:b/>
      <w:bCs/>
      <w:sz w:val="20"/>
      <w:lang w:eastAsia="en-GB"/>
    </w:rPr>
  </w:style>
  <w:style w:type="paragraph" w:customStyle="1" w:styleId="xl86">
    <w:name w:val="xl86"/>
    <w:basedOn w:val="Normal"/>
    <w:rsid w:val="00D578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cs="Arial"/>
      <w:b/>
      <w:bCs/>
      <w:sz w:val="20"/>
      <w:lang w:eastAsia="en-GB"/>
    </w:rPr>
  </w:style>
  <w:style w:type="paragraph" w:customStyle="1" w:styleId="xl87">
    <w:name w:val="xl87"/>
    <w:basedOn w:val="Normal"/>
    <w:rsid w:val="00D578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cs="Arial"/>
      <w:b/>
      <w:bCs/>
      <w:sz w:val="20"/>
      <w:lang w:eastAsia="en-GB"/>
    </w:rPr>
  </w:style>
  <w:style w:type="paragraph" w:customStyle="1" w:styleId="xl88">
    <w:name w:val="xl88"/>
    <w:basedOn w:val="Normal"/>
    <w:rsid w:val="00D578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cs="Arial"/>
      <w:b/>
      <w:bCs/>
      <w:sz w:val="20"/>
      <w:lang w:eastAsia="en-GB"/>
    </w:rPr>
  </w:style>
  <w:style w:type="paragraph" w:customStyle="1" w:styleId="xl89">
    <w:name w:val="xl89"/>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eastAsia="en-GB"/>
    </w:rPr>
  </w:style>
  <w:style w:type="paragraph" w:customStyle="1" w:styleId="xl90">
    <w:name w:val="xl90"/>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91">
    <w:name w:val="xl91"/>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92">
    <w:name w:val="xl92"/>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93">
    <w:name w:val="xl93"/>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94">
    <w:name w:val="xl94"/>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95">
    <w:name w:val="xl95"/>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6">
    <w:name w:val="xl96"/>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7">
    <w:name w:val="xl97"/>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8">
    <w:name w:val="xl98"/>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9">
    <w:name w:val="xl99"/>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lang w:eastAsia="en-GB"/>
    </w:rPr>
  </w:style>
  <w:style w:type="paragraph" w:customStyle="1" w:styleId="xl100">
    <w:name w:val="xl100"/>
    <w:basedOn w:val="Normal"/>
    <w:rsid w:val="00D57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lang w:eastAsia="en-GB"/>
    </w:rPr>
  </w:style>
  <w:style w:type="paragraph" w:customStyle="1" w:styleId="xl101">
    <w:name w:val="xl101"/>
    <w:basedOn w:val="Normal"/>
    <w:rsid w:val="00D57806"/>
    <w:pPr>
      <w:pBdr>
        <w:top w:val="single" w:sz="4" w:space="0" w:color="auto"/>
        <w:left w:val="single" w:sz="4" w:space="0" w:color="auto"/>
        <w:bottom w:val="single" w:sz="4" w:space="0" w:color="auto"/>
      </w:pBdr>
      <w:shd w:val="clear" w:color="000000" w:fill="DBE5F1"/>
      <w:spacing w:before="100" w:beforeAutospacing="1" w:after="100" w:afterAutospacing="1"/>
      <w:jc w:val="center"/>
    </w:pPr>
    <w:rPr>
      <w:rFonts w:ascii="Times New Roman" w:hAnsi="Times New Roman"/>
      <w:szCs w:val="24"/>
      <w:lang w:eastAsia="en-GB"/>
    </w:rPr>
  </w:style>
  <w:style w:type="paragraph" w:customStyle="1" w:styleId="xl102">
    <w:name w:val="xl102"/>
    <w:basedOn w:val="Normal"/>
    <w:rsid w:val="00D57806"/>
    <w:pPr>
      <w:pBdr>
        <w:top w:val="single" w:sz="4" w:space="0" w:color="auto"/>
        <w:bottom w:val="single" w:sz="4" w:space="0" w:color="auto"/>
      </w:pBdr>
      <w:shd w:val="clear" w:color="000000" w:fill="DBE5F1"/>
      <w:spacing w:before="100" w:beforeAutospacing="1" w:after="100" w:afterAutospacing="1"/>
      <w:jc w:val="center"/>
    </w:pPr>
    <w:rPr>
      <w:rFonts w:ascii="Times New Roman" w:hAnsi="Times New Roman"/>
      <w:szCs w:val="24"/>
      <w:lang w:eastAsia="en-GB"/>
    </w:rPr>
  </w:style>
  <w:style w:type="paragraph" w:customStyle="1" w:styleId="xl103">
    <w:name w:val="xl103"/>
    <w:basedOn w:val="Normal"/>
    <w:rsid w:val="00D57806"/>
    <w:pPr>
      <w:pBdr>
        <w:top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hAnsi="Times New Roman"/>
      <w:szCs w:val="24"/>
      <w:lang w:eastAsia="en-GB"/>
    </w:rPr>
  </w:style>
  <w:style w:type="table" w:styleId="TableGrid">
    <w:name w:val="Table Grid"/>
    <w:basedOn w:val="TableNormal"/>
    <w:uiPriority w:val="59"/>
    <w:rsid w:val="000B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11BE"/>
    <w:pPr>
      <w:spacing w:before="100" w:beforeAutospacing="1" w:after="100" w:afterAutospacing="1"/>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282614030">
      <w:bodyDiv w:val="1"/>
      <w:marLeft w:val="0"/>
      <w:marRight w:val="0"/>
      <w:marTop w:val="0"/>
      <w:marBottom w:val="0"/>
      <w:divBdr>
        <w:top w:val="none" w:sz="0" w:space="0" w:color="auto"/>
        <w:left w:val="none" w:sz="0" w:space="0" w:color="auto"/>
        <w:bottom w:val="none" w:sz="0" w:space="0" w:color="auto"/>
        <w:right w:val="none" w:sz="0" w:space="0" w:color="auto"/>
      </w:divBdr>
    </w:div>
    <w:div w:id="791946585">
      <w:bodyDiv w:val="1"/>
      <w:marLeft w:val="0"/>
      <w:marRight w:val="0"/>
      <w:marTop w:val="0"/>
      <w:marBottom w:val="0"/>
      <w:divBdr>
        <w:top w:val="none" w:sz="0" w:space="0" w:color="auto"/>
        <w:left w:val="none" w:sz="0" w:space="0" w:color="auto"/>
        <w:bottom w:val="none" w:sz="0" w:space="0" w:color="auto"/>
        <w:right w:val="none" w:sz="0" w:space="0" w:color="auto"/>
      </w:divBdr>
    </w:div>
    <w:div w:id="915894739">
      <w:bodyDiv w:val="1"/>
      <w:marLeft w:val="0"/>
      <w:marRight w:val="0"/>
      <w:marTop w:val="0"/>
      <w:marBottom w:val="0"/>
      <w:divBdr>
        <w:top w:val="none" w:sz="0" w:space="0" w:color="auto"/>
        <w:left w:val="none" w:sz="0" w:space="0" w:color="auto"/>
        <w:bottom w:val="none" w:sz="0" w:space="0" w:color="auto"/>
        <w:right w:val="none" w:sz="0" w:space="0" w:color="auto"/>
      </w:divBdr>
    </w:div>
    <w:div w:id="1200244116">
      <w:bodyDiv w:val="1"/>
      <w:marLeft w:val="0"/>
      <w:marRight w:val="0"/>
      <w:marTop w:val="0"/>
      <w:marBottom w:val="0"/>
      <w:divBdr>
        <w:top w:val="none" w:sz="0" w:space="0" w:color="auto"/>
        <w:left w:val="none" w:sz="0" w:space="0" w:color="auto"/>
        <w:bottom w:val="none" w:sz="0" w:space="0" w:color="auto"/>
        <w:right w:val="none" w:sz="0" w:space="0" w:color="auto"/>
      </w:divBdr>
    </w:div>
    <w:div w:id="18311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mckennab</dc:creator>
  <cp:lastModifiedBy>mckennab</cp:lastModifiedBy>
  <cp:revision>3</cp:revision>
  <cp:lastPrinted>2019-03-11T15:50:00Z</cp:lastPrinted>
  <dcterms:created xsi:type="dcterms:W3CDTF">2021-03-19T12:22:00Z</dcterms:created>
  <dcterms:modified xsi:type="dcterms:W3CDTF">2021-03-19T14:20:00Z</dcterms:modified>
</cp:coreProperties>
</file>