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DB" w:rsidRPr="00EE3131" w:rsidRDefault="00B33D9A" w:rsidP="00387285">
      <w:pPr>
        <w:jc w:val="right"/>
        <w:rPr>
          <w:rFonts w:ascii="Arial" w:hAnsi="Arial" w:cs="Arial"/>
        </w:rPr>
      </w:pPr>
      <w:r w:rsidRPr="00B33D9A">
        <w:rPr>
          <w:b/>
          <w:noProof/>
          <w:lang w:val="en-GB" w:eastAsia="en-GB"/>
        </w:rPr>
        <w:pict>
          <v:shapetype id="_x0000_t202" coordsize="21600,21600" o:spt="202" path="m,l,21600r21600,l21600,xe">
            <v:stroke joinstyle="miter"/>
            <v:path gradientshapeok="t" o:connecttype="rect"/>
          </v:shapetype>
          <v:shape id="_x0000_s1080" type="#_x0000_t202" style="position:absolute;left:0;text-align:left;margin-left:414.2pt;margin-top:-27pt;width:108pt;height:27pt;z-index:2" stroked="f">
            <v:textbox>
              <w:txbxContent>
                <w:p w:rsidR="00E44E62" w:rsidRPr="00317DE5" w:rsidRDefault="00E44E62">
                  <w:pPr>
                    <w:rPr>
                      <w:lang w:val="en-GB"/>
                    </w:rPr>
                  </w:pPr>
                  <w:r>
                    <w:rPr>
                      <w:lang w:val="en-GB"/>
                    </w:rPr>
                    <w:t>ANNEX E</w:t>
                  </w:r>
                </w:p>
              </w:txbxContent>
            </v:textbox>
          </v:shape>
        </w:pict>
      </w:r>
      <w:r w:rsidRPr="00B33D9A">
        <w:rPr>
          <w:b/>
        </w:rPr>
      </w:r>
      <w:r w:rsidR="005B14DB" w:rsidRPr="00B33D9A">
        <w:rPr>
          <w:b/>
        </w:rPr>
        <w:pict>
          <v:group id="_x0000_s1026" editas="canvas" style="width:486pt;height:684pt;mso-position-horizontal-relative:char;mso-position-vertical-relative:line" coordorigin="2272,695" coordsize="8100,1172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2;top:695;width:8100;height:11725" o:preferrelative="f">
              <v:fill o:detectmouseclick="t"/>
              <v:path o:extrusionok="t" o:connecttype="none"/>
              <o:lock v:ext="edit" text="t"/>
            </v:shape>
            <v:shape id="_x0000_s1028" type="#_x0000_t202" style="position:absolute;left:4072;top:1466;width:4050;height:618">
              <v:textbox style="mso-next-textbox:#_x0000_s1028">
                <w:txbxContent>
                  <w:p w:rsidR="00E44E62" w:rsidRPr="00C72460" w:rsidRDefault="00E44E62" w:rsidP="00387285">
                    <w:pPr>
                      <w:jc w:val="center"/>
                      <w:rPr>
                        <w:sz w:val="19"/>
                        <w:szCs w:val="19"/>
                      </w:rPr>
                    </w:pPr>
                    <w:r w:rsidRPr="00C72460">
                      <w:rPr>
                        <w:sz w:val="19"/>
                        <w:szCs w:val="19"/>
                      </w:rPr>
                      <w:t xml:space="preserve">Redeployment Questionnaire completed within 10 days </w:t>
                    </w:r>
                  </w:p>
                </w:txbxContent>
              </v:textbox>
            </v:shape>
            <v:shape id="_x0000_s1029" type="#_x0000_t202" style="position:absolute;left:4072;top:2238;width:4050;height:617">
              <v:textbox style="mso-next-textbox:#_x0000_s1029">
                <w:txbxContent>
                  <w:p w:rsidR="00E44E62" w:rsidRPr="00C72460" w:rsidRDefault="00E44E62" w:rsidP="00387285">
                    <w:pPr>
                      <w:jc w:val="center"/>
                      <w:rPr>
                        <w:sz w:val="19"/>
                        <w:szCs w:val="19"/>
                      </w:rPr>
                    </w:pPr>
                    <w:r w:rsidRPr="00C72460">
                      <w:rPr>
                        <w:sz w:val="19"/>
                        <w:szCs w:val="19"/>
                      </w:rPr>
                      <w:t>HRO enters details onto Redeployment Register of commencement redeployment period</w:t>
                    </w:r>
                  </w:p>
                </w:txbxContent>
              </v:textbox>
            </v:shape>
            <v:shape id="_x0000_s1030" type="#_x0000_t202" style="position:absolute;left:4072;top:3009;width:4050;height:462">
              <v:textbox style="mso-next-textbox:#_x0000_s1030">
                <w:txbxContent>
                  <w:p w:rsidR="00E44E62" w:rsidRPr="00C72460" w:rsidRDefault="00E44E62" w:rsidP="00387285">
                    <w:pPr>
                      <w:jc w:val="center"/>
                      <w:rPr>
                        <w:sz w:val="19"/>
                        <w:szCs w:val="19"/>
                      </w:rPr>
                    </w:pPr>
                    <w:r w:rsidRPr="00C72460">
                      <w:rPr>
                        <w:sz w:val="19"/>
                        <w:szCs w:val="19"/>
                      </w:rPr>
                      <w:t>Redeployment Group meets weekly to consider skills matches</w:t>
                    </w:r>
                  </w:p>
                </w:txbxContent>
              </v:textbox>
            </v:shape>
            <v:shape id="_x0000_s1031" type="#_x0000_t202" style="position:absolute;left:8422;top:2546;width:1950;height:1080" strokecolor="red" strokeweight="6pt">
              <v:textbox style="mso-next-textbox:#_x0000_s1031">
                <w:txbxContent>
                  <w:p w:rsidR="00E44E62" w:rsidRPr="00C72460" w:rsidRDefault="00E44E62" w:rsidP="00387285">
                    <w:pPr>
                      <w:jc w:val="center"/>
                      <w:rPr>
                        <w:sz w:val="19"/>
                        <w:szCs w:val="19"/>
                      </w:rPr>
                    </w:pPr>
                    <w:r w:rsidRPr="00C72460">
                      <w:rPr>
                        <w:sz w:val="19"/>
                        <w:szCs w:val="19"/>
                      </w:rPr>
                      <w:t>If Capability /Ill Health further advice from OHSAS may be sought</w:t>
                    </w:r>
                  </w:p>
                </w:txbxContent>
              </v:textbox>
            </v:shape>
            <v:shape id="_x0000_s1032" type="#_x0000_t202" style="position:absolute;left:3082;top:3780;width:1950;height:310">
              <v:textbox style="mso-next-textbox:#_x0000_s1032">
                <w:txbxContent>
                  <w:p w:rsidR="00E44E62" w:rsidRPr="00C72460" w:rsidRDefault="00E44E62" w:rsidP="00387285">
                    <w:pPr>
                      <w:jc w:val="center"/>
                      <w:rPr>
                        <w:sz w:val="19"/>
                        <w:szCs w:val="19"/>
                      </w:rPr>
                    </w:pPr>
                    <w:r w:rsidRPr="00C72460">
                      <w:rPr>
                        <w:sz w:val="19"/>
                        <w:szCs w:val="19"/>
                      </w:rPr>
                      <w:t>No skills match</w:t>
                    </w:r>
                  </w:p>
                </w:txbxContent>
              </v:textbox>
            </v:shape>
            <v:shape id="_x0000_s1033" type="#_x0000_t202" style="position:absolute;left:5782;top:3780;width:3060;height:310">
              <v:textbox style="mso-next-textbox:#_x0000_s1033">
                <w:txbxContent>
                  <w:p w:rsidR="00E44E62" w:rsidRPr="00C72460" w:rsidRDefault="00E44E62" w:rsidP="00387285">
                    <w:pPr>
                      <w:jc w:val="center"/>
                      <w:rPr>
                        <w:sz w:val="19"/>
                        <w:szCs w:val="19"/>
                      </w:rPr>
                    </w:pPr>
                    <w:r>
                      <w:rPr>
                        <w:sz w:val="19"/>
                        <w:szCs w:val="19"/>
                      </w:rPr>
                      <w:t>S</w:t>
                    </w:r>
                    <w:r w:rsidRPr="00C72460">
                      <w:rPr>
                        <w:sz w:val="19"/>
                        <w:szCs w:val="19"/>
                      </w:rPr>
                      <w:t>kills match identified</w:t>
                    </w:r>
                  </w:p>
                </w:txbxContent>
              </v:textbox>
            </v:shape>
            <v:shape id="_x0000_s1034" type="#_x0000_t202" style="position:absolute;left:2572;top:4243;width:2400;height:926">
              <v:textbox style="mso-next-textbox:#_x0000_s1034">
                <w:txbxContent>
                  <w:p w:rsidR="00E44E62" w:rsidRPr="009F2142" w:rsidRDefault="00E44E62" w:rsidP="00387285">
                    <w:pPr>
                      <w:jc w:val="center"/>
                      <w:rPr>
                        <w:sz w:val="19"/>
                        <w:szCs w:val="19"/>
                      </w:rPr>
                    </w:pPr>
                    <w:smartTag w:uri="urn:schemas-microsoft-com:office:smarttags" w:element="PersonName">
                      <w:r w:rsidRPr="009F2142">
                        <w:rPr>
                          <w:sz w:val="19"/>
                          <w:szCs w:val="19"/>
                        </w:rPr>
                        <w:t>Recruitment</w:t>
                      </w:r>
                    </w:smartTag>
                    <w:r w:rsidRPr="009F2142">
                      <w:rPr>
                        <w:sz w:val="19"/>
                        <w:szCs w:val="19"/>
                      </w:rPr>
                      <w:t xml:space="preserve"> Team advised recruiting manager that normal recruitment may progress.  </w:t>
                    </w:r>
                  </w:p>
                </w:txbxContent>
              </v:textbox>
            </v:shape>
            <v:shape id="_x0000_s1035" type="#_x0000_t202" style="position:absolute;left:5182;top:4243;width:2100;height:1080">
              <v:textbox style="mso-next-textbox:#_x0000_s1035">
                <w:txbxContent>
                  <w:p w:rsidR="00E44E62" w:rsidRPr="00C72460" w:rsidRDefault="00E44E62" w:rsidP="00387285">
                    <w:pPr>
                      <w:jc w:val="center"/>
                      <w:rPr>
                        <w:sz w:val="19"/>
                        <w:szCs w:val="19"/>
                      </w:rPr>
                    </w:pPr>
                    <w:r w:rsidRPr="00C72460">
                      <w:rPr>
                        <w:sz w:val="19"/>
                        <w:szCs w:val="19"/>
                      </w:rPr>
                      <w:t xml:space="preserve">If only one suitable candidate discussion with line manager </w:t>
                    </w:r>
                  </w:p>
                </w:txbxContent>
              </v:textbox>
            </v:shape>
            <v:rect id="_x0000_s1036" style="position:absolute;left:7582;top:4243;width:2550;height:617">
              <v:textbox style="mso-next-textbox:#_x0000_s1036">
                <w:txbxContent>
                  <w:p w:rsidR="00E44E62" w:rsidRPr="00C72460" w:rsidRDefault="00E44E62" w:rsidP="00387285">
                    <w:pPr>
                      <w:jc w:val="center"/>
                      <w:rPr>
                        <w:sz w:val="19"/>
                        <w:szCs w:val="19"/>
                      </w:rPr>
                    </w:pPr>
                    <w:r w:rsidRPr="00C72460">
                      <w:rPr>
                        <w:sz w:val="19"/>
                        <w:szCs w:val="19"/>
                      </w:rPr>
                      <w:t xml:space="preserve">If </w:t>
                    </w:r>
                    <w:r>
                      <w:rPr>
                        <w:sz w:val="19"/>
                        <w:szCs w:val="19"/>
                      </w:rPr>
                      <w:t xml:space="preserve">more than one </w:t>
                    </w:r>
                    <w:r w:rsidRPr="00C72460">
                      <w:rPr>
                        <w:sz w:val="19"/>
                        <w:szCs w:val="19"/>
                      </w:rPr>
                      <w:t xml:space="preserve">candidate interviews will be held.  </w:t>
                    </w:r>
                  </w:p>
                </w:txbxContent>
              </v:textbox>
            </v:rect>
            <v:shape id="_x0000_s1037" type="#_x0000_t202" style="position:absolute;left:3022;top:6095;width:1440;height:307">
              <v:textbox style="mso-next-textbox:#_x0000_s1037">
                <w:txbxContent>
                  <w:p w:rsidR="00E44E62" w:rsidRPr="00C72460" w:rsidRDefault="00E44E62" w:rsidP="00387285">
                    <w:pPr>
                      <w:jc w:val="center"/>
                      <w:rPr>
                        <w:sz w:val="19"/>
                        <w:szCs w:val="19"/>
                      </w:rPr>
                    </w:pPr>
                    <w:r w:rsidRPr="00C72460">
                      <w:rPr>
                        <w:sz w:val="19"/>
                        <w:szCs w:val="19"/>
                      </w:rPr>
                      <w:t>If declined</w:t>
                    </w:r>
                  </w:p>
                </w:txbxContent>
              </v:textbox>
            </v:shape>
            <v:shape id="_x0000_s1038" type="#_x0000_t202" style="position:absolute;left:2572;top:6866;width:2400;height:617">
              <v:textbox style="mso-next-textbox:#_x0000_s1038">
                <w:txbxContent>
                  <w:p w:rsidR="00E44E62" w:rsidRPr="00C72460" w:rsidRDefault="00E44E62" w:rsidP="00387285">
                    <w:pPr>
                      <w:jc w:val="center"/>
                      <w:rPr>
                        <w:sz w:val="19"/>
                        <w:szCs w:val="19"/>
                      </w:rPr>
                    </w:pPr>
                    <w:r w:rsidRPr="00C72460">
                      <w:rPr>
                        <w:sz w:val="19"/>
                        <w:szCs w:val="19"/>
                      </w:rPr>
                      <w:t xml:space="preserve">Reasons given in writing </w:t>
                    </w:r>
                    <w:proofErr w:type="gramStart"/>
                    <w:r w:rsidRPr="00C72460">
                      <w:rPr>
                        <w:sz w:val="19"/>
                        <w:szCs w:val="19"/>
                      </w:rPr>
                      <w:t xml:space="preserve">to  </w:t>
                    </w:r>
                    <w:r>
                      <w:rPr>
                        <w:sz w:val="19"/>
                        <w:szCs w:val="19"/>
                      </w:rPr>
                      <w:t>Human</w:t>
                    </w:r>
                    <w:proofErr w:type="gramEnd"/>
                    <w:r>
                      <w:rPr>
                        <w:sz w:val="19"/>
                        <w:szCs w:val="19"/>
                      </w:rPr>
                      <w:t xml:space="preserve"> Resources Officer</w:t>
                    </w:r>
                  </w:p>
                </w:txbxContent>
              </v:textbox>
            </v:shape>
            <v:shape id="_x0000_s1039" type="#_x0000_t202" style="position:absolute;left:5272;top:6866;width:2100;height:926">
              <v:textbox style="mso-next-textbox:#_x0000_s1039">
                <w:txbxContent>
                  <w:p w:rsidR="00E44E62" w:rsidRPr="00C72460" w:rsidRDefault="00E44E62" w:rsidP="00387285">
                    <w:pPr>
                      <w:jc w:val="center"/>
                      <w:rPr>
                        <w:sz w:val="19"/>
                        <w:szCs w:val="19"/>
                      </w:rPr>
                    </w:pPr>
                    <w:r w:rsidRPr="00C72460">
                      <w:rPr>
                        <w:sz w:val="19"/>
                        <w:szCs w:val="19"/>
                      </w:rPr>
                      <w:t>Regular Reviews during 4 week trial period to identify issues including further training</w:t>
                    </w:r>
                  </w:p>
                </w:txbxContent>
              </v:textbox>
            </v:shape>
            <v:shape id="_x0000_s1040" type="#_x0000_t202" style="position:absolute;left:7672;top:6866;width:2550;height:1080" strokecolor="red" strokeweight="6pt">
              <v:textbox style="mso-next-textbox:#_x0000_s1040">
                <w:txbxContent>
                  <w:p w:rsidR="00E44E62" w:rsidRPr="00C72460" w:rsidRDefault="00E44E62" w:rsidP="00387285">
                    <w:pPr>
                      <w:jc w:val="center"/>
                      <w:rPr>
                        <w:sz w:val="19"/>
                        <w:szCs w:val="19"/>
                      </w:rPr>
                    </w:pPr>
                    <w:r w:rsidRPr="00C72460">
                      <w:rPr>
                        <w:sz w:val="19"/>
                        <w:szCs w:val="19"/>
                      </w:rPr>
                      <w:t>If any health related issues arise during the trial period further advice from OHSAS may be sought</w:t>
                    </w:r>
                  </w:p>
                </w:txbxContent>
              </v:textbox>
            </v:shape>
            <v:shape id="_x0000_s1041" type="#_x0000_t202" style="position:absolute;left:2722;top:8255;width:1500;height:1080">
              <v:textbox style="mso-next-textbox:#_x0000_s1041">
                <w:txbxContent>
                  <w:p w:rsidR="00E44E62" w:rsidRPr="00C72460" w:rsidRDefault="00E44E62" w:rsidP="00387285">
                    <w:pPr>
                      <w:jc w:val="center"/>
                      <w:rPr>
                        <w:sz w:val="19"/>
                        <w:szCs w:val="19"/>
                      </w:rPr>
                    </w:pPr>
                    <w:r w:rsidRPr="00C72460">
                      <w:rPr>
                        <w:sz w:val="19"/>
                        <w:szCs w:val="19"/>
                      </w:rPr>
                      <w:t>If reasonable employee remains on redeployment register</w:t>
                    </w:r>
                  </w:p>
                </w:txbxContent>
              </v:textbox>
            </v:shape>
            <v:shape id="_x0000_s1042" type="#_x0000_t202" style="position:absolute;left:4522;top:8255;width:1650;height:1080">
              <v:textbox style="mso-next-textbox:#_x0000_s1042">
                <w:txbxContent>
                  <w:p w:rsidR="00E44E62" w:rsidRPr="00C72460" w:rsidRDefault="00E44E62" w:rsidP="00387285">
                    <w:pPr>
                      <w:jc w:val="center"/>
                      <w:rPr>
                        <w:sz w:val="19"/>
                        <w:szCs w:val="19"/>
                      </w:rPr>
                    </w:pPr>
                    <w:r w:rsidRPr="00C72460">
                      <w:rPr>
                        <w:sz w:val="19"/>
                        <w:szCs w:val="19"/>
                      </w:rPr>
                      <w:t xml:space="preserve">If unreasonable employee required </w:t>
                    </w:r>
                    <w:proofErr w:type="gramStart"/>
                    <w:r w:rsidRPr="00C72460">
                      <w:rPr>
                        <w:sz w:val="19"/>
                        <w:szCs w:val="19"/>
                      </w:rPr>
                      <w:t>to move</w:t>
                    </w:r>
                    <w:proofErr w:type="gramEnd"/>
                    <w:r w:rsidRPr="00C72460">
                      <w:rPr>
                        <w:sz w:val="19"/>
                        <w:szCs w:val="19"/>
                      </w:rPr>
                      <w:t xml:space="preserve"> to the alternative post identified</w:t>
                    </w:r>
                  </w:p>
                </w:txbxContent>
              </v:textbox>
            </v:shape>
            <v:shape id="_x0000_s1043" type="#_x0000_t202" style="position:absolute;left:6322;top:8255;width:1650;height:1080">
              <v:textbox style="mso-next-textbox:#_x0000_s1043">
                <w:txbxContent>
                  <w:p w:rsidR="00E44E62" w:rsidRPr="00C72460" w:rsidRDefault="00E44E62" w:rsidP="00387285">
                    <w:pPr>
                      <w:jc w:val="center"/>
                      <w:rPr>
                        <w:sz w:val="19"/>
                        <w:szCs w:val="19"/>
                      </w:rPr>
                    </w:pPr>
                    <w:r w:rsidRPr="00C72460">
                      <w:rPr>
                        <w:sz w:val="19"/>
                        <w:szCs w:val="19"/>
                      </w:rPr>
                      <w:t xml:space="preserve">If deemed unsuitable objective justification must be provided and agreed with </w:t>
                    </w:r>
                    <w:r>
                      <w:rPr>
                        <w:sz w:val="19"/>
                        <w:szCs w:val="19"/>
                      </w:rPr>
                      <w:t>DD</w:t>
                    </w:r>
                    <w:r w:rsidRPr="00C72460">
                      <w:rPr>
                        <w:sz w:val="19"/>
                        <w:szCs w:val="19"/>
                      </w:rPr>
                      <w:t>HR</w:t>
                    </w:r>
                  </w:p>
                </w:txbxContent>
              </v:textbox>
            </v:shape>
            <v:shape id="_x0000_s1044" type="#_x0000_t202" style="position:absolute;left:8122;top:8255;width:2100;height:925">
              <v:textbox style="mso-next-textbox:#_x0000_s1044">
                <w:txbxContent>
                  <w:p w:rsidR="00E44E62" w:rsidRPr="00C72460" w:rsidRDefault="00E44E62" w:rsidP="00387285">
                    <w:pPr>
                      <w:jc w:val="center"/>
                      <w:rPr>
                        <w:sz w:val="19"/>
                        <w:szCs w:val="19"/>
                      </w:rPr>
                    </w:pPr>
                    <w:r w:rsidRPr="00C72460">
                      <w:rPr>
                        <w:sz w:val="19"/>
                        <w:szCs w:val="19"/>
                      </w:rPr>
                      <w:t>If deemed suitable employee confirmed in post – successful redeployment</w:t>
                    </w:r>
                  </w:p>
                </w:txbxContent>
              </v:textbox>
            </v:shape>
            <v:shape id="_x0000_s1045" type="#_x0000_t202" style="position:absolute;left:5722;top:9643;width:2100;height:2160">
              <v:textbox style="mso-next-textbox:#_x0000_s1045">
                <w:txbxContent>
                  <w:p w:rsidR="00E44E62" w:rsidRPr="00C72460" w:rsidRDefault="00E44E62" w:rsidP="00387285">
                    <w:pPr>
                      <w:jc w:val="center"/>
                      <w:rPr>
                        <w:sz w:val="19"/>
                        <w:szCs w:val="19"/>
                      </w:rPr>
                    </w:pPr>
                    <w:r w:rsidRPr="00C72460">
                      <w:rPr>
                        <w:sz w:val="19"/>
                        <w:szCs w:val="19"/>
                      </w:rPr>
                      <w:t>If agreed by DDHR Employee may return to original department or another suitable arrangement</w:t>
                    </w:r>
                    <w:r>
                      <w:rPr>
                        <w:sz w:val="19"/>
                        <w:szCs w:val="19"/>
                      </w:rPr>
                      <w:t>.  Individual will be retained on redeployment register or temporary arrangement until a suitable alternative is found.</w:t>
                    </w:r>
                  </w:p>
                </w:txbxContent>
              </v:textbox>
            </v:shape>
            <v:shape id="_x0000_s1046" type="#_x0000_t202" style="position:absolute;left:8272;top:9335;width:1950;height:770">
              <v:textbox style="mso-next-textbox:#_x0000_s1046">
                <w:txbxContent>
                  <w:p w:rsidR="00E44E62" w:rsidRPr="00C72460" w:rsidRDefault="00E44E62" w:rsidP="00387285">
                    <w:pPr>
                      <w:jc w:val="center"/>
                      <w:rPr>
                        <w:sz w:val="19"/>
                        <w:szCs w:val="19"/>
                      </w:rPr>
                    </w:pPr>
                    <w:r w:rsidRPr="00C72460">
                      <w:rPr>
                        <w:sz w:val="19"/>
                        <w:szCs w:val="19"/>
                      </w:rPr>
                      <w:t>If not agreed by DDHR employee will be made to remain in post</w:t>
                    </w:r>
                  </w:p>
                </w:txbxContent>
              </v:textbox>
            </v:shape>
            <v:shape id="_x0000_s1047" type="#_x0000_t202" style="position:absolute;left:2572;top:10261;width:2850;height:1388" strokecolor="red" strokeweight="6pt">
              <v:textbox style="mso-next-textbox:#_x0000_s1047">
                <w:txbxContent>
                  <w:p w:rsidR="00E44E62" w:rsidRPr="00C72460" w:rsidRDefault="00E44E62" w:rsidP="00387285">
                    <w:pPr>
                      <w:jc w:val="center"/>
                      <w:rPr>
                        <w:sz w:val="19"/>
                        <w:szCs w:val="19"/>
                      </w:rPr>
                    </w:pPr>
                    <w:r w:rsidRPr="00C72460">
                      <w:rPr>
                        <w:sz w:val="19"/>
                        <w:szCs w:val="19"/>
                      </w:rPr>
                      <w:t xml:space="preserve">If redeployment </w:t>
                    </w:r>
                    <w:r>
                      <w:rPr>
                        <w:sz w:val="19"/>
                        <w:szCs w:val="19"/>
                      </w:rPr>
                      <w:t xml:space="preserve">not </w:t>
                    </w:r>
                    <w:r w:rsidRPr="00C72460">
                      <w:rPr>
                        <w:sz w:val="19"/>
                        <w:szCs w:val="19"/>
                      </w:rPr>
                      <w:t>successful</w:t>
                    </w:r>
                    <w:r>
                      <w:rPr>
                        <w:sz w:val="19"/>
                        <w:szCs w:val="19"/>
                      </w:rPr>
                      <w:t xml:space="preserve">ly achieved </w:t>
                    </w:r>
                    <w:r w:rsidRPr="00C72460">
                      <w:rPr>
                        <w:sz w:val="19"/>
                        <w:szCs w:val="19"/>
                      </w:rPr>
                      <w:t>after a period of normally 12 weeks it may be necessary to consider dismissal on grounds of capability, early retirement or ill health retirement</w:t>
                    </w:r>
                  </w:p>
                </w:txbxContent>
              </v:textbox>
            </v:shape>
            <v:shape id="_x0000_s1048" type="#_x0000_t202" style="position:absolute;left:8272;top:10261;width:2100;height:2159">
              <v:textbox style="mso-next-textbox:#_x0000_s1048">
                <w:txbxContent>
                  <w:p w:rsidR="00E44E62" w:rsidRPr="00A67142" w:rsidRDefault="00E44E62" w:rsidP="00387285">
                    <w:pPr>
                      <w:jc w:val="center"/>
                      <w:rPr>
                        <w:sz w:val="18"/>
                        <w:szCs w:val="18"/>
                      </w:rPr>
                    </w:pPr>
                    <w:r w:rsidRPr="00A67142">
                      <w:rPr>
                        <w:rFonts w:cs="Arial"/>
                        <w:sz w:val="18"/>
                        <w:szCs w:val="18"/>
                      </w:rPr>
                      <w:t xml:space="preserve">In circumstances where an individual member of staff has unreasonably refused suitable alternative employment they will be removed from the redeployment register.   In these circumstances the individual’s contract of employment will be terminated without the right to be considered for redundancy.   </w:t>
                    </w:r>
                  </w:p>
                </w:txbxContent>
              </v:textbox>
            </v:shape>
            <v:line id="_x0000_s1049" style="position:absolute" from="5932,1312" to="5932,1466">
              <v:stroke endarrow="block"/>
            </v:line>
            <v:line id="_x0000_s1050" style="position:absolute" from="5932,2083" to="5932,2238">
              <v:stroke endarrow="block"/>
            </v:line>
            <v:line id="_x0000_s1051" style="position:absolute" from="5932,2855" to="5932,3009">
              <v:stroke endarrow="block"/>
            </v:line>
            <v:line id="_x0000_s1052" style="position:absolute" from="8122,3163" to="8422,3166">
              <v:stroke endarrow="block"/>
            </v:line>
            <v:line id="_x0000_s1053" style="position:absolute" from="6832,3472" to="6833,3780">
              <v:stroke endarrow="block"/>
            </v:line>
            <v:line id="_x0000_s1054" style="position:absolute" from="4672,3472" to="4673,3780">
              <v:stroke endarrow="block"/>
            </v:line>
            <v:line id="_x0000_s1055" style="position:absolute" from="6172,5323" to="6173,5632">
              <v:stroke endarrow="block"/>
            </v:line>
            <v:line id="_x0000_s1056" style="position:absolute" from="3832,4089" to="3832,4243">
              <v:stroke endarrow="block"/>
            </v:line>
            <v:line id="_x0000_s1057" style="position:absolute" from="6382,4089" to="6382,4243">
              <v:stroke endarrow="block"/>
            </v:line>
            <v:line id="_x0000_s1058" style="position:absolute" from="8332,4089" to="8332,4243">
              <v:stroke endarrow="block"/>
            </v:line>
            <v:shape id="_x0000_s1059" type="#_x0000_t202" style="position:absolute;left:7372;top:5323;width:1050;height:926">
              <v:textbox style="mso-next-textbox:#_x0000_s1059">
                <w:txbxContent>
                  <w:p w:rsidR="00E44E62" w:rsidRPr="004C2788" w:rsidRDefault="00E44E62" w:rsidP="00387285">
                    <w:pPr>
                      <w:jc w:val="center"/>
                      <w:rPr>
                        <w:sz w:val="19"/>
                        <w:szCs w:val="19"/>
                      </w:rPr>
                    </w:pPr>
                    <w:r w:rsidRPr="004C2788">
                      <w:rPr>
                        <w:sz w:val="19"/>
                        <w:szCs w:val="19"/>
                      </w:rPr>
                      <w:t>Preferred candidate identified</w:t>
                    </w:r>
                  </w:p>
                </w:txbxContent>
              </v:textbox>
            </v:shape>
            <v:shape id="_x0000_s1060" type="#_x0000_t202" style="position:absolute;left:8722;top:5323;width:1500;height:1080">
              <v:textbox style="mso-next-textbox:#_x0000_s1060">
                <w:txbxContent>
                  <w:p w:rsidR="00E44E62" w:rsidRPr="004C2788" w:rsidRDefault="00E44E62" w:rsidP="00387285">
                    <w:pPr>
                      <w:jc w:val="center"/>
                      <w:rPr>
                        <w:sz w:val="19"/>
                        <w:szCs w:val="19"/>
                      </w:rPr>
                    </w:pPr>
                    <w:r w:rsidRPr="004C2788">
                      <w:rPr>
                        <w:sz w:val="19"/>
                        <w:szCs w:val="19"/>
                      </w:rPr>
                      <w:t>Feedback given to unsuccessful candidates by recruiting manager</w:t>
                    </w:r>
                  </w:p>
                </w:txbxContent>
              </v:textbox>
            </v:shape>
            <v:shape id="_x0000_s1061" type="#_x0000_t202" style="position:absolute;left:5272;top:5632;width:1800;height:771">
              <v:textbox style="mso-next-textbox:#_x0000_s1061">
                <w:txbxContent>
                  <w:p w:rsidR="00E44E62" w:rsidRDefault="00E44E62" w:rsidP="00387285">
                    <w:pPr>
                      <w:jc w:val="center"/>
                    </w:pPr>
                    <w:r w:rsidRPr="00C72460">
                      <w:rPr>
                        <w:sz w:val="19"/>
                        <w:szCs w:val="19"/>
                      </w:rPr>
                      <w:t>4 week trial period offered decision within 5 days</w:t>
                    </w:r>
                  </w:p>
                </w:txbxContent>
              </v:textbox>
            </v:shape>
            <v:line id="_x0000_s1062" style="position:absolute" from="7972,4860" to="7973,5323">
              <v:stroke endarrow="block"/>
            </v:line>
            <v:line id="_x0000_s1063" style="position:absolute" from="3622,6403" to="3622,6866">
              <v:stroke endarrow="block"/>
            </v:line>
            <v:line id="_x0000_s1064" style="position:absolute" from="6172,6403" to="6172,6866">
              <v:stroke endarrow="block"/>
            </v:line>
            <v:line id="_x0000_s1065" style="position:absolute" from="7372,7329" to="7672,7329">
              <v:stroke endarrow="block"/>
            </v:line>
            <v:line id="_x0000_s1066" style="position:absolute" from="6772,7792" to="8572,8255">
              <v:stroke endarrow="block"/>
            </v:line>
            <v:line id="_x0000_s1067" style="position:absolute" from="6622,7792" to="6622,8255">
              <v:stroke endarrow="block"/>
            </v:line>
            <v:line id="_x0000_s1068" style="position:absolute" from="3322,7483" to="3322,8255">
              <v:stroke endarrow="block"/>
            </v:line>
            <v:line id="_x0000_s1069" style="position:absolute" from="4372,7483" to="4972,8255">
              <v:stroke endarrow="block"/>
            </v:line>
            <v:line id="_x0000_s1070" style="position:absolute" from="7972,9181" to="8422,9335">
              <v:stroke endarrow="block"/>
            </v:line>
            <v:line id="_x0000_s1071" style="position:absolute" from="6772,9335" to="6772,9643">
              <v:stroke endarrow="block"/>
            </v:line>
            <v:line id="_x0000_s1072" style="position:absolute;flip:x" from="5422,10569" to="5722,10569">
              <v:stroke endarrow="block"/>
            </v:line>
            <v:line id="_x0000_s1073" style="position:absolute" from="9022,10106" to="9022,10261">
              <v:stroke endarrow="block"/>
            </v:line>
            <v:line id="_x0000_s1074" style="position:absolute" from="8422,5786" to="8722,5786">
              <v:stroke endarrow="block"/>
            </v:line>
            <v:line id="_x0000_s1075" style="position:absolute;flip:x" from="7072,5786" to="7372,5786">
              <v:stroke endarrow="block"/>
            </v:line>
            <v:line id="_x0000_s1076" style="position:absolute;flip:x" from="4522,6249" to="5272,6249">
              <v:stroke endarrow="block"/>
            </v:line>
            <v:shape id="_x0000_s1077" type="#_x0000_t202" style="position:absolute;left:4072;top:839;width:4050;height:401">
              <v:textbox style="mso-next-textbox:#_x0000_s1077">
                <w:txbxContent>
                  <w:p w:rsidR="00E44E62" w:rsidRPr="00C72460" w:rsidRDefault="00E44E62" w:rsidP="00387285">
                    <w:pPr>
                      <w:jc w:val="center"/>
                      <w:rPr>
                        <w:sz w:val="19"/>
                        <w:szCs w:val="19"/>
                      </w:rPr>
                    </w:pPr>
                    <w:r w:rsidRPr="00C72460">
                      <w:rPr>
                        <w:sz w:val="19"/>
                        <w:szCs w:val="19"/>
                      </w:rPr>
                      <w:t>Employee identified as displaced.  Notified in writing</w:t>
                    </w:r>
                  </w:p>
                </w:txbxContent>
              </v:textbox>
            </v:shape>
            <w10:anchorlock/>
          </v:group>
        </w:pict>
      </w:r>
    </w:p>
    <w:sectPr w:rsidR="00251BDB" w:rsidRPr="00EE3131" w:rsidSect="005B14D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183" w:rsidRDefault="00297183">
      <w:r>
        <w:separator/>
      </w:r>
    </w:p>
  </w:endnote>
  <w:endnote w:type="continuationSeparator" w:id="0">
    <w:p w:rsidR="00297183" w:rsidRDefault="00297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DB" w:rsidRDefault="005B14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1E0"/>
    </w:tblPr>
    <w:tblGrid>
      <w:gridCol w:w="3348"/>
      <w:gridCol w:w="2340"/>
      <w:gridCol w:w="3168"/>
    </w:tblGrid>
    <w:tr w:rsidR="00E44E62" w:rsidRPr="00F90CBE" w:rsidTr="00F90CBE">
      <w:trPr>
        <w:jc w:val="center"/>
      </w:trPr>
      <w:tc>
        <w:tcPr>
          <w:tcW w:w="3348" w:type="dxa"/>
        </w:tcPr>
        <w:p w:rsidR="00E44E62" w:rsidRPr="00F90CBE" w:rsidRDefault="00E44E62">
          <w:pPr>
            <w:pStyle w:val="Footer"/>
            <w:rPr>
              <w:sz w:val="18"/>
              <w:szCs w:val="18"/>
            </w:rPr>
          </w:pPr>
          <w:r w:rsidRPr="00F90CBE">
            <w:rPr>
              <w:sz w:val="18"/>
              <w:szCs w:val="18"/>
            </w:rPr>
            <w:t>File Name: NHS Fife Redeployment</w:t>
          </w:r>
        </w:p>
      </w:tc>
      <w:tc>
        <w:tcPr>
          <w:tcW w:w="2340" w:type="dxa"/>
        </w:tcPr>
        <w:p w:rsidR="00E44E62" w:rsidRPr="00F90CBE" w:rsidRDefault="00E44E62">
          <w:pPr>
            <w:pStyle w:val="Footer"/>
            <w:rPr>
              <w:sz w:val="18"/>
              <w:szCs w:val="18"/>
            </w:rPr>
          </w:pPr>
        </w:p>
      </w:tc>
      <w:tc>
        <w:tcPr>
          <w:tcW w:w="3168" w:type="dxa"/>
        </w:tcPr>
        <w:p w:rsidR="00E44E62" w:rsidRPr="00F90CBE" w:rsidRDefault="00E44E62" w:rsidP="00F90CBE">
          <w:pPr>
            <w:pStyle w:val="Footer"/>
            <w:jc w:val="right"/>
            <w:rPr>
              <w:sz w:val="18"/>
              <w:szCs w:val="18"/>
            </w:rPr>
          </w:pPr>
          <w:r w:rsidRPr="00F90CBE">
            <w:rPr>
              <w:sz w:val="18"/>
              <w:szCs w:val="18"/>
            </w:rPr>
            <w:t>Version 5</w:t>
          </w:r>
        </w:p>
      </w:tc>
    </w:tr>
    <w:tr w:rsidR="00E44E62" w:rsidRPr="00F90CBE" w:rsidTr="00F90CBE">
      <w:trPr>
        <w:jc w:val="center"/>
      </w:trPr>
      <w:tc>
        <w:tcPr>
          <w:tcW w:w="3348" w:type="dxa"/>
        </w:tcPr>
        <w:p w:rsidR="00E44E62" w:rsidRPr="00F90CBE" w:rsidRDefault="00E44E62">
          <w:pPr>
            <w:pStyle w:val="Footer"/>
            <w:rPr>
              <w:sz w:val="18"/>
              <w:szCs w:val="18"/>
            </w:rPr>
          </w:pPr>
          <w:r w:rsidRPr="00F90CBE">
            <w:rPr>
              <w:sz w:val="18"/>
              <w:szCs w:val="18"/>
            </w:rPr>
            <w:t>Originator: Head of Human Resources</w:t>
          </w:r>
        </w:p>
      </w:tc>
      <w:tc>
        <w:tcPr>
          <w:tcW w:w="2340" w:type="dxa"/>
        </w:tcPr>
        <w:p w:rsidR="00E44E62" w:rsidRPr="00F90CBE" w:rsidRDefault="00E44E62" w:rsidP="00F90CBE">
          <w:pPr>
            <w:pStyle w:val="Footer"/>
            <w:jc w:val="center"/>
            <w:rPr>
              <w:sz w:val="18"/>
              <w:szCs w:val="18"/>
            </w:rPr>
          </w:pPr>
          <w:r w:rsidRPr="00F90CBE">
            <w:rPr>
              <w:sz w:val="18"/>
              <w:szCs w:val="18"/>
            </w:rPr>
            <w:t xml:space="preserve">Page </w:t>
          </w:r>
          <w:r w:rsidR="00B33D9A" w:rsidRPr="00F90CBE">
            <w:rPr>
              <w:sz w:val="18"/>
              <w:szCs w:val="18"/>
            </w:rPr>
            <w:fldChar w:fldCharType="begin"/>
          </w:r>
          <w:r w:rsidRPr="00F90CBE">
            <w:rPr>
              <w:sz w:val="18"/>
              <w:szCs w:val="18"/>
            </w:rPr>
            <w:instrText xml:space="preserve"> PAGE </w:instrText>
          </w:r>
          <w:r w:rsidR="00B33D9A" w:rsidRPr="00F90CBE">
            <w:rPr>
              <w:sz w:val="18"/>
              <w:szCs w:val="18"/>
            </w:rPr>
            <w:fldChar w:fldCharType="separate"/>
          </w:r>
          <w:r w:rsidR="005B14DB">
            <w:rPr>
              <w:noProof/>
              <w:sz w:val="18"/>
              <w:szCs w:val="18"/>
            </w:rPr>
            <w:t>1</w:t>
          </w:r>
          <w:r w:rsidR="00B33D9A" w:rsidRPr="00F90CBE">
            <w:rPr>
              <w:sz w:val="18"/>
              <w:szCs w:val="18"/>
            </w:rPr>
            <w:fldChar w:fldCharType="end"/>
          </w:r>
          <w:r w:rsidRPr="00F90CBE">
            <w:rPr>
              <w:sz w:val="18"/>
              <w:szCs w:val="18"/>
            </w:rPr>
            <w:t xml:space="preserve"> of </w:t>
          </w:r>
          <w:r w:rsidR="00B33D9A" w:rsidRPr="00F90CBE">
            <w:rPr>
              <w:sz w:val="18"/>
              <w:szCs w:val="18"/>
            </w:rPr>
            <w:fldChar w:fldCharType="begin"/>
          </w:r>
          <w:r w:rsidRPr="00F90CBE">
            <w:rPr>
              <w:sz w:val="18"/>
              <w:szCs w:val="18"/>
            </w:rPr>
            <w:instrText xml:space="preserve"> NUMPAGES </w:instrText>
          </w:r>
          <w:r w:rsidR="00B33D9A" w:rsidRPr="00F90CBE">
            <w:rPr>
              <w:sz w:val="18"/>
              <w:szCs w:val="18"/>
            </w:rPr>
            <w:fldChar w:fldCharType="separate"/>
          </w:r>
          <w:r w:rsidR="005B14DB">
            <w:rPr>
              <w:noProof/>
              <w:sz w:val="18"/>
              <w:szCs w:val="18"/>
            </w:rPr>
            <w:t>1</w:t>
          </w:r>
          <w:r w:rsidR="00B33D9A" w:rsidRPr="00F90CBE">
            <w:rPr>
              <w:sz w:val="18"/>
              <w:szCs w:val="18"/>
            </w:rPr>
            <w:fldChar w:fldCharType="end"/>
          </w:r>
        </w:p>
      </w:tc>
      <w:tc>
        <w:tcPr>
          <w:tcW w:w="3168" w:type="dxa"/>
        </w:tcPr>
        <w:p w:rsidR="00E44E62" w:rsidRPr="00F90CBE" w:rsidRDefault="00E44E62" w:rsidP="00F90CBE">
          <w:pPr>
            <w:pStyle w:val="Footer"/>
            <w:jc w:val="right"/>
            <w:rPr>
              <w:sz w:val="18"/>
              <w:szCs w:val="18"/>
            </w:rPr>
          </w:pPr>
          <w:r w:rsidRPr="00F90CBE">
            <w:rPr>
              <w:sz w:val="18"/>
              <w:szCs w:val="18"/>
            </w:rPr>
            <w:t>Review Date: January 2015</w:t>
          </w:r>
        </w:p>
      </w:tc>
    </w:tr>
  </w:tbl>
  <w:p w:rsidR="00E44E62" w:rsidRDefault="00E44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DB" w:rsidRDefault="005B14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183" w:rsidRDefault="00297183">
      <w:r>
        <w:separator/>
      </w:r>
    </w:p>
  </w:footnote>
  <w:footnote w:type="continuationSeparator" w:id="0">
    <w:p w:rsidR="00297183" w:rsidRDefault="00297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DB" w:rsidRDefault="005B14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DB" w:rsidRDefault="005B14DB" w:rsidP="005B14DB">
    <w:pPr>
      <w:pStyle w:val="Header"/>
      <w:tabs>
        <w:tab w:val="clear" w:pos="4153"/>
        <w:tab w:val="clear" w:pos="8306"/>
        <w:tab w:val="left" w:pos="9544"/>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4DB" w:rsidRDefault="005B14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574"/>
    <w:multiLevelType w:val="multilevel"/>
    <w:tmpl w:val="F2EC05C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954A75"/>
    <w:multiLevelType w:val="hybridMultilevel"/>
    <w:tmpl w:val="73E48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64B16AA"/>
    <w:multiLevelType w:val="hybridMultilevel"/>
    <w:tmpl w:val="D56294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1304CB"/>
    <w:multiLevelType w:val="hybridMultilevel"/>
    <w:tmpl w:val="663A5542"/>
    <w:lvl w:ilvl="0" w:tplc="475278DE">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C926CB9"/>
    <w:multiLevelType w:val="hybridMultilevel"/>
    <w:tmpl w:val="A74E0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068255B"/>
    <w:multiLevelType w:val="hybridMultilevel"/>
    <w:tmpl w:val="D37E3A6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15DC4AC0"/>
    <w:multiLevelType w:val="hybridMultilevel"/>
    <w:tmpl w:val="DD9414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23B04523"/>
    <w:multiLevelType w:val="hybridMultilevel"/>
    <w:tmpl w:val="48CA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9E91D96"/>
    <w:multiLevelType w:val="hybridMultilevel"/>
    <w:tmpl w:val="68FE3D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2A0D7C18"/>
    <w:multiLevelType w:val="multilevel"/>
    <w:tmpl w:val="0492CC8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A570F16"/>
    <w:multiLevelType w:val="hybridMultilevel"/>
    <w:tmpl w:val="F1FE2D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2DE96CC1"/>
    <w:multiLevelType w:val="hybridMultilevel"/>
    <w:tmpl w:val="07AEDB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34B37079"/>
    <w:multiLevelType w:val="hybridMultilevel"/>
    <w:tmpl w:val="2D1CF3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67A6C02"/>
    <w:multiLevelType w:val="hybridMultilevel"/>
    <w:tmpl w:val="939071E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4CD25DC0"/>
    <w:multiLevelType w:val="multilevel"/>
    <w:tmpl w:val="AC62D9C6"/>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E4163FB"/>
    <w:multiLevelType w:val="hybridMultilevel"/>
    <w:tmpl w:val="95C8BC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5638721A"/>
    <w:multiLevelType w:val="hybridMultilevel"/>
    <w:tmpl w:val="60F0759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nsid w:val="588231E8"/>
    <w:multiLevelType w:val="hybridMultilevel"/>
    <w:tmpl w:val="31DACD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1E42AEF"/>
    <w:multiLevelType w:val="hybridMultilevel"/>
    <w:tmpl w:val="9D7E5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BA44685"/>
    <w:multiLevelType w:val="hybridMultilevel"/>
    <w:tmpl w:val="2634F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C6E7B43"/>
    <w:multiLevelType w:val="multilevel"/>
    <w:tmpl w:val="21D08D6A"/>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DCF71CD"/>
    <w:multiLevelType w:val="hybridMultilevel"/>
    <w:tmpl w:val="4CF6C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1A75899"/>
    <w:multiLevelType w:val="hybridMultilevel"/>
    <w:tmpl w:val="3D9CF81E"/>
    <w:lvl w:ilvl="0" w:tplc="0809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3">
    <w:nsid w:val="720A36A6"/>
    <w:multiLevelType w:val="hybridMultilevel"/>
    <w:tmpl w:val="97701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4E3749E"/>
    <w:multiLevelType w:val="hybridMultilevel"/>
    <w:tmpl w:val="4148C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6A43F97"/>
    <w:multiLevelType w:val="hybridMultilevel"/>
    <w:tmpl w:val="993866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79CC507D"/>
    <w:multiLevelType w:val="hybridMultilevel"/>
    <w:tmpl w:val="017A1EA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nsid w:val="7A7D6F9F"/>
    <w:multiLevelType w:val="hybridMultilevel"/>
    <w:tmpl w:val="DF7E64DE"/>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cs="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28">
    <w:nsid w:val="7E125293"/>
    <w:multiLevelType w:val="hybridMultilevel"/>
    <w:tmpl w:val="166202E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4"/>
  </w:num>
  <w:num w:numId="3">
    <w:abstractNumId w:val="2"/>
  </w:num>
  <w:num w:numId="4">
    <w:abstractNumId w:val="27"/>
  </w:num>
  <w:num w:numId="5">
    <w:abstractNumId w:val="4"/>
  </w:num>
  <w:num w:numId="6">
    <w:abstractNumId w:val="25"/>
  </w:num>
  <w:num w:numId="7">
    <w:abstractNumId w:val="17"/>
  </w:num>
  <w:num w:numId="8">
    <w:abstractNumId w:val="15"/>
  </w:num>
  <w:num w:numId="9">
    <w:abstractNumId w:val="20"/>
  </w:num>
  <w:num w:numId="10">
    <w:abstractNumId w:val="18"/>
  </w:num>
  <w:num w:numId="11">
    <w:abstractNumId w:val="14"/>
  </w:num>
  <w:num w:numId="12">
    <w:abstractNumId w:val="9"/>
  </w:num>
  <w:num w:numId="13">
    <w:abstractNumId w:val="1"/>
  </w:num>
  <w:num w:numId="14">
    <w:abstractNumId w:val="21"/>
  </w:num>
  <w:num w:numId="15">
    <w:abstractNumId w:val="28"/>
  </w:num>
  <w:num w:numId="16">
    <w:abstractNumId w:val="7"/>
  </w:num>
  <w:num w:numId="17">
    <w:abstractNumId w:val="12"/>
  </w:num>
  <w:num w:numId="18">
    <w:abstractNumId w:val="5"/>
  </w:num>
  <w:num w:numId="19">
    <w:abstractNumId w:val="10"/>
  </w:num>
  <w:num w:numId="20">
    <w:abstractNumId w:val="22"/>
  </w:num>
  <w:num w:numId="21">
    <w:abstractNumId w:val="8"/>
  </w:num>
  <w:num w:numId="22">
    <w:abstractNumId w:val="16"/>
  </w:num>
  <w:num w:numId="23">
    <w:abstractNumId w:val="11"/>
  </w:num>
  <w:num w:numId="24">
    <w:abstractNumId w:val="13"/>
  </w:num>
  <w:num w:numId="25">
    <w:abstractNumId w:val="26"/>
  </w:num>
  <w:num w:numId="26">
    <w:abstractNumId w:val="6"/>
  </w:num>
  <w:num w:numId="27">
    <w:abstractNumId w:val="3"/>
  </w:num>
  <w:num w:numId="28">
    <w:abstractNumId w:val="19"/>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oNotTrackMoves/>
  <w:defaultTabStop w:val="720"/>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5FDB"/>
    <w:rsid w:val="00001911"/>
    <w:rsid w:val="00002259"/>
    <w:rsid w:val="00003CFD"/>
    <w:rsid w:val="00004A79"/>
    <w:rsid w:val="000324E1"/>
    <w:rsid w:val="0003692B"/>
    <w:rsid w:val="0004170D"/>
    <w:rsid w:val="00043EB9"/>
    <w:rsid w:val="00081103"/>
    <w:rsid w:val="0008665B"/>
    <w:rsid w:val="0009242D"/>
    <w:rsid w:val="000934BA"/>
    <w:rsid w:val="000C2349"/>
    <w:rsid w:val="000C69BA"/>
    <w:rsid w:val="000C78A0"/>
    <w:rsid w:val="000D54B5"/>
    <w:rsid w:val="000E533F"/>
    <w:rsid w:val="00110FF0"/>
    <w:rsid w:val="00113AFC"/>
    <w:rsid w:val="00117D3F"/>
    <w:rsid w:val="00144FB0"/>
    <w:rsid w:val="001B4715"/>
    <w:rsid w:val="001C4F98"/>
    <w:rsid w:val="001C7F8A"/>
    <w:rsid w:val="001E0F21"/>
    <w:rsid w:val="001E105A"/>
    <w:rsid w:val="001E3D28"/>
    <w:rsid w:val="001E67A7"/>
    <w:rsid w:val="001E7C2B"/>
    <w:rsid w:val="001F3AF6"/>
    <w:rsid w:val="001F75BB"/>
    <w:rsid w:val="00251BDB"/>
    <w:rsid w:val="002609ED"/>
    <w:rsid w:val="00297183"/>
    <w:rsid w:val="00297FD0"/>
    <w:rsid w:val="002A03DE"/>
    <w:rsid w:val="002B0ECD"/>
    <w:rsid w:val="002B7809"/>
    <w:rsid w:val="002C2CE5"/>
    <w:rsid w:val="002C334D"/>
    <w:rsid w:val="002C50D0"/>
    <w:rsid w:val="002C726F"/>
    <w:rsid w:val="00317DE5"/>
    <w:rsid w:val="00370367"/>
    <w:rsid w:val="003739E9"/>
    <w:rsid w:val="00387285"/>
    <w:rsid w:val="003B0C82"/>
    <w:rsid w:val="003D1DBB"/>
    <w:rsid w:val="003D23AA"/>
    <w:rsid w:val="003E4032"/>
    <w:rsid w:val="00431ED9"/>
    <w:rsid w:val="004700F0"/>
    <w:rsid w:val="00470571"/>
    <w:rsid w:val="004839BD"/>
    <w:rsid w:val="004A5BA2"/>
    <w:rsid w:val="004B02DF"/>
    <w:rsid w:val="004E0672"/>
    <w:rsid w:val="004E1B3F"/>
    <w:rsid w:val="004E6E2D"/>
    <w:rsid w:val="00515B8B"/>
    <w:rsid w:val="00526D4E"/>
    <w:rsid w:val="005409D2"/>
    <w:rsid w:val="005518D3"/>
    <w:rsid w:val="005724BF"/>
    <w:rsid w:val="00573C30"/>
    <w:rsid w:val="0058222F"/>
    <w:rsid w:val="00597553"/>
    <w:rsid w:val="005A5E02"/>
    <w:rsid w:val="005A731B"/>
    <w:rsid w:val="005B14DB"/>
    <w:rsid w:val="005C4ADA"/>
    <w:rsid w:val="005E6E93"/>
    <w:rsid w:val="006101DD"/>
    <w:rsid w:val="0064161E"/>
    <w:rsid w:val="006425C6"/>
    <w:rsid w:val="006466B6"/>
    <w:rsid w:val="00651821"/>
    <w:rsid w:val="006573B0"/>
    <w:rsid w:val="00667817"/>
    <w:rsid w:val="00681342"/>
    <w:rsid w:val="006B0280"/>
    <w:rsid w:val="006C6653"/>
    <w:rsid w:val="006C7301"/>
    <w:rsid w:val="006D52D7"/>
    <w:rsid w:val="006F7658"/>
    <w:rsid w:val="007A40C1"/>
    <w:rsid w:val="008170B0"/>
    <w:rsid w:val="008744F3"/>
    <w:rsid w:val="008A3E59"/>
    <w:rsid w:val="008B0604"/>
    <w:rsid w:val="008E01C3"/>
    <w:rsid w:val="008E4900"/>
    <w:rsid w:val="009036B2"/>
    <w:rsid w:val="009512A7"/>
    <w:rsid w:val="00974665"/>
    <w:rsid w:val="00981AA5"/>
    <w:rsid w:val="009A147A"/>
    <w:rsid w:val="009D4091"/>
    <w:rsid w:val="009D5FDB"/>
    <w:rsid w:val="009E6D3C"/>
    <w:rsid w:val="00A152EB"/>
    <w:rsid w:val="00A408F8"/>
    <w:rsid w:val="00A67BE6"/>
    <w:rsid w:val="00A712D4"/>
    <w:rsid w:val="00AA68E9"/>
    <w:rsid w:val="00AB65E7"/>
    <w:rsid w:val="00AC1139"/>
    <w:rsid w:val="00AC3886"/>
    <w:rsid w:val="00AC74F5"/>
    <w:rsid w:val="00AE20D4"/>
    <w:rsid w:val="00AE2F5F"/>
    <w:rsid w:val="00B011B0"/>
    <w:rsid w:val="00B013CA"/>
    <w:rsid w:val="00B02DB8"/>
    <w:rsid w:val="00B079C8"/>
    <w:rsid w:val="00B07BAE"/>
    <w:rsid w:val="00B12DC4"/>
    <w:rsid w:val="00B33A43"/>
    <w:rsid w:val="00B33D9A"/>
    <w:rsid w:val="00B55148"/>
    <w:rsid w:val="00B611DD"/>
    <w:rsid w:val="00B943F5"/>
    <w:rsid w:val="00B96BCE"/>
    <w:rsid w:val="00BB1256"/>
    <w:rsid w:val="00BC5738"/>
    <w:rsid w:val="00BE713E"/>
    <w:rsid w:val="00BF7095"/>
    <w:rsid w:val="00C37CA3"/>
    <w:rsid w:val="00C62B53"/>
    <w:rsid w:val="00C67008"/>
    <w:rsid w:val="00C84760"/>
    <w:rsid w:val="00CA1A35"/>
    <w:rsid w:val="00CB5DFE"/>
    <w:rsid w:val="00CD1007"/>
    <w:rsid w:val="00D132BD"/>
    <w:rsid w:val="00D24DB7"/>
    <w:rsid w:val="00D32469"/>
    <w:rsid w:val="00D36E6F"/>
    <w:rsid w:val="00D42AB4"/>
    <w:rsid w:val="00D43B4E"/>
    <w:rsid w:val="00D8000B"/>
    <w:rsid w:val="00DA1636"/>
    <w:rsid w:val="00DA5C28"/>
    <w:rsid w:val="00DA6910"/>
    <w:rsid w:val="00DC0ED9"/>
    <w:rsid w:val="00DD0B5F"/>
    <w:rsid w:val="00DD75C5"/>
    <w:rsid w:val="00DF7A71"/>
    <w:rsid w:val="00E024B7"/>
    <w:rsid w:val="00E44E62"/>
    <w:rsid w:val="00E45AD0"/>
    <w:rsid w:val="00E515C9"/>
    <w:rsid w:val="00E552F2"/>
    <w:rsid w:val="00E60CC4"/>
    <w:rsid w:val="00E76853"/>
    <w:rsid w:val="00E81C52"/>
    <w:rsid w:val="00EA6BAB"/>
    <w:rsid w:val="00EB15B7"/>
    <w:rsid w:val="00EC6C2E"/>
    <w:rsid w:val="00EE2C67"/>
    <w:rsid w:val="00EE3131"/>
    <w:rsid w:val="00EE6AC4"/>
    <w:rsid w:val="00F10191"/>
    <w:rsid w:val="00F250BD"/>
    <w:rsid w:val="00F32D4B"/>
    <w:rsid w:val="00F400EE"/>
    <w:rsid w:val="00F72669"/>
    <w:rsid w:val="00F81C3F"/>
    <w:rsid w:val="00F90CBE"/>
    <w:rsid w:val="00FF0E4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9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5F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43EB9"/>
    <w:rPr>
      <w:color w:val="0000FF"/>
      <w:u w:val="single"/>
    </w:rPr>
  </w:style>
  <w:style w:type="paragraph" w:styleId="Header">
    <w:name w:val="header"/>
    <w:basedOn w:val="Normal"/>
    <w:rsid w:val="004700F0"/>
    <w:pPr>
      <w:tabs>
        <w:tab w:val="center" w:pos="4153"/>
        <w:tab w:val="right" w:pos="8306"/>
      </w:tabs>
    </w:pPr>
  </w:style>
  <w:style w:type="paragraph" w:styleId="Footer">
    <w:name w:val="footer"/>
    <w:basedOn w:val="Normal"/>
    <w:rsid w:val="004700F0"/>
    <w:pPr>
      <w:tabs>
        <w:tab w:val="center" w:pos="4153"/>
        <w:tab w:val="right" w:pos="8306"/>
      </w:tabs>
    </w:pPr>
  </w:style>
  <w:style w:type="character" w:styleId="CommentReference">
    <w:name w:val="annotation reference"/>
    <w:basedOn w:val="DefaultParagraphFont"/>
    <w:semiHidden/>
    <w:rsid w:val="005A5E02"/>
    <w:rPr>
      <w:sz w:val="16"/>
      <w:szCs w:val="16"/>
    </w:rPr>
  </w:style>
  <w:style w:type="paragraph" w:styleId="CommentText">
    <w:name w:val="annotation text"/>
    <w:basedOn w:val="Normal"/>
    <w:semiHidden/>
    <w:rsid w:val="005A5E02"/>
    <w:rPr>
      <w:sz w:val="20"/>
      <w:szCs w:val="20"/>
    </w:rPr>
  </w:style>
  <w:style w:type="paragraph" w:styleId="CommentSubject">
    <w:name w:val="annotation subject"/>
    <w:basedOn w:val="CommentText"/>
    <w:next w:val="CommentText"/>
    <w:semiHidden/>
    <w:rsid w:val="005A5E02"/>
    <w:rPr>
      <w:b/>
      <w:bCs/>
    </w:rPr>
  </w:style>
  <w:style w:type="paragraph" w:styleId="BalloonText">
    <w:name w:val="Balloon Text"/>
    <w:basedOn w:val="Normal"/>
    <w:semiHidden/>
    <w:rsid w:val="005A5E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35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D58FF0-5581-45B1-82A7-157EE86A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&lt;POLICY TITLE&gt;</vt:lpstr>
    </vt:vector>
  </TitlesOfParts>
  <Company>NHS FIFE</Company>
  <LinksUpToDate>false</LinksUpToDate>
  <CharactersWithSpaces>29</CharactersWithSpaces>
  <SharedDoc>false</SharedDoc>
  <HLinks>
    <vt:vector size="36" baseType="variant">
      <vt:variant>
        <vt:i4>4522062</vt:i4>
      </vt:variant>
      <vt:variant>
        <vt:i4>15</vt:i4>
      </vt:variant>
      <vt:variant>
        <vt:i4>0</vt:i4>
      </vt:variant>
      <vt:variant>
        <vt:i4>5</vt:i4>
      </vt:variant>
      <vt:variant>
        <vt:lpwstr>http://www.legislation.gov.uk/ukpga/2010/15/contents</vt:lpwstr>
      </vt:variant>
      <vt:variant>
        <vt:lpwstr/>
      </vt:variant>
      <vt:variant>
        <vt:i4>4522062</vt:i4>
      </vt:variant>
      <vt:variant>
        <vt:i4>12</vt:i4>
      </vt:variant>
      <vt:variant>
        <vt:i4>0</vt:i4>
      </vt:variant>
      <vt:variant>
        <vt:i4>5</vt:i4>
      </vt:variant>
      <vt:variant>
        <vt:lpwstr>http://www.legislation.gov.uk/ukpga/2010/15/contents</vt:lpwstr>
      </vt:variant>
      <vt:variant>
        <vt:lpwstr/>
      </vt:variant>
      <vt:variant>
        <vt:i4>2883621</vt:i4>
      </vt:variant>
      <vt:variant>
        <vt:i4>9</vt:i4>
      </vt:variant>
      <vt:variant>
        <vt:i4>0</vt:i4>
      </vt:variant>
      <vt:variant>
        <vt:i4>5</vt:i4>
      </vt:variant>
      <vt:variant>
        <vt:lpwstr>http://www.sppa.gov.uk/</vt:lpwstr>
      </vt:variant>
      <vt:variant>
        <vt:lpwstr/>
      </vt:variant>
      <vt:variant>
        <vt:i4>4522062</vt:i4>
      </vt:variant>
      <vt:variant>
        <vt:i4>6</vt:i4>
      </vt:variant>
      <vt:variant>
        <vt:i4>0</vt:i4>
      </vt:variant>
      <vt:variant>
        <vt:i4>5</vt:i4>
      </vt:variant>
      <vt:variant>
        <vt:lpwstr>http://www.legislation.gov.uk/ukpga/2010/15/contents</vt:lpwstr>
      </vt:variant>
      <vt:variant>
        <vt:lpwstr/>
      </vt:variant>
      <vt:variant>
        <vt:i4>2031620</vt:i4>
      </vt:variant>
      <vt:variant>
        <vt:i4>3</vt:i4>
      </vt:variant>
      <vt:variant>
        <vt:i4>0</vt:i4>
      </vt:variant>
      <vt:variant>
        <vt:i4>5</vt:i4>
      </vt:variant>
      <vt:variant>
        <vt:lpwstr>http://www.scotland.gov.uk/Publications/2014/03/7176</vt:lpwstr>
      </vt:variant>
      <vt:variant>
        <vt:lpwstr/>
      </vt:variant>
      <vt:variant>
        <vt:i4>4522062</vt:i4>
      </vt:variant>
      <vt:variant>
        <vt:i4>0</vt:i4>
      </vt:variant>
      <vt:variant>
        <vt:i4>0</vt:i4>
      </vt:variant>
      <vt:variant>
        <vt:i4>5</vt:i4>
      </vt:variant>
      <vt:variant>
        <vt:lpwstr>http://www.legislation.gov.uk/ukpga/2010/15/contents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&lt;POLICY TITLE&gt;</dc:title>
  <dc:creator>cummingsk</dc:creator>
  <cp:lastModifiedBy>Stevenson</cp:lastModifiedBy>
  <cp:revision>3</cp:revision>
  <cp:lastPrinted>2015-10-01T14:35:00Z</cp:lastPrinted>
  <dcterms:created xsi:type="dcterms:W3CDTF">2016-03-24T22:46:00Z</dcterms:created>
  <dcterms:modified xsi:type="dcterms:W3CDTF">2016-03-24T22:52:00Z</dcterms:modified>
</cp:coreProperties>
</file>