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3A" w:rsidRPr="00413A5E" w:rsidRDefault="00B86F77" w:rsidP="0094353A">
      <w:pPr>
        <w:jc w:val="center"/>
        <w:rPr>
          <w:b/>
          <w:sz w:val="22"/>
          <w:szCs w:val="22"/>
        </w:rPr>
      </w:pPr>
      <w:r>
        <w:rPr>
          <w:b/>
          <w:sz w:val="22"/>
          <w:szCs w:val="22"/>
        </w:rPr>
        <w:t>202</w:t>
      </w:r>
      <w:r w:rsidR="00DB7F55">
        <w:rPr>
          <w:b/>
          <w:sz w:val="22"/>
          <w:szCs w:val="22"/>
        </w:rPr>
        <w:t>5</w:t>
      </w:r>
      <w:r w:rsidR="00F156F2" w:rsidRPr="00413A5E">
        <w:rPr>
          <w:b/>
          <w:sz w:val="22"/>
          <w:szCs w:val="22"/>
        </w:rPr>
        <w:t xml:space="preserve"> Equal </w:t>
      </w:r>
      <w:r w:rsidR="0094353A" w:rsidRPr="00413A5E">
        <w:rPr>
          <w:b/>
          <w:sz w:val="22"/>
          <w:szCs w:val="22"/>
        </w:rPr>
        <w:t xml:space="preserve">Pay Gap </w:t>
      </w:r>
      <w:r w:rsidR="00FF77C2">
        <w:rPr>
          <w:b/>
          <w:sz w:val="22"/>
          <w:szCs w:val="22"/>
        </w:rPr>
        <w:t>Analysis</w:t>
      </w:r>
    </w:p>
    <w:p w:rsidR="0094353A" w:rsidRPr="00413A5E" w:rsidRDefault="0094353A" w:rsidP="0094353A">
      <w:pPr>
        <w:rPr>
          <w:b/>
          <w:sz w:val="22"/>
          <w:szCs w:val="22"/>
        </w:rPr>
      </w:pPr>
    </w:p>
    <w:p w:rsidR="0094353A" w:rsidRPr="00413A5E" w:rsidRDefault="0094353A" w:rsidP="0094353A">
      <w:pPr>
        <w:rPr>
          <w:b/>
          <w:sz w:val="22"/>
          <w:szCs w:val="22"/>
        </w:rPr>
      </w:pPr>
    </w:p>
    <w:p w:rsidR="0094353A" w:rsidRPr="00413A5E" w:rsidRDefault="0094353A" w:rsidP="0094353A">
      <w:pPr>
        <w:jc w:val="both"/>
        <w:rPr>
          <w:sz w:val="22"/>
          <w:szCs w:val="22"/>
        </w:rPr>
      </w:pPr>
      <w:r w:rsidRPr="00413A5E">
        <w:rPr>
          <w:sz w:val="22"/>
          <w:szCs w:val="22"/>
        </w:rPr>
        <w:t xml:space="preserve">NHS Fife is committed to mainstreaming equality within the workplace.  One of the ways of ensuring this is to carry out an Equal Pay Audit, the results of which are used to identify and analyse potential anomalies in remuneration.  </w:t>
      </w:r>
    </w:p>
    <w:p w:rsidR="0094353A" w:rsidRPr="00413A5E" w:rsidRDefault="0094353A" w:rsidP="0094353A">
      <w:pPr>
        <w:jc w:val="both"/>
        <w:rPr>
          <w:sz w:val="22"/>
          <w:szCs w:val="22"/>
        </w:rPr>
      </w:pPr>
    </w:p>
    <w:p w:rsidR="0094353A" w:rsidRPr="00413A5E" w:rsidRDefault="0094353A" w:rsidP="0094353A">
      <w:pPr>
        <w:jc w:val="both"/>
        <w:rPr>
          <w:sz w:val="22"/>
          <w:szCs w:val="22"/>
        </w:rPr>
      </w:pPr>
      <w:r w:rsidRPr="00413A5E">
        <w:rPr>
          <w:sz w:val="22"/>
          <w:szCs w:val="22"/>
        </w:rPr>
        <w:t>This paper summarise</w:t>
      </w:r>
      <w:r w:rsidR="00103A35">
        <w:rPr>
          <w:sz w:val="22"/>
          <w:szCs w:val="22"/>
        </w:rPr>
        <w:t>s</w:t>
      </w:r>
      <w:r w:rsidRPr="00413A5E">
        <w:rPr>
          <w:sz w:val="22"/>
          <w:szCs w:val="22"/>
        </w:rPr>
        <w:t xml:space="preserve"> </w:t>
      </w:r>
      <w:r w:rsidR="002E3B55">
        <w:rPr>
          <w:sz w:val="22"/>
          <w:szCs w:val="22"/>
        </w:rPr>
        <w:t>the findings of the Equal Pay A</w:t>
      </w:r>
      <w:r w:rsidRPr="00413A5E">
        <w:rPr>
          <w:sz w:val="22"/>
          <w:szCs w:val="22"/>
        </w:rPr>
        <w:t xml:space="preserve">udit carried out </w:t>
      </w:r>
      <w:r w:rsidR="006A1820" w:rsidRPr="00413A5E">
        <w:rPr>
          <w:sz w:val="22"/>
          <w:szCs w:val="22"/>
        </w:rPr>
        <w:t>in 20</w:t>
      </w:r>
      <w:r w:rsidR="00B86F77">
        <w:rPr>
          <w:sz w:val="22"/>
          <w:szCs w:val="22"/>
        </w:rPr>
        <w:t>2</w:t>
      </w:r>
      <w:r w:rsidR="00DB7F55">
        <w:rPr>
          <w:sz w:val="22"/>
          <w:szCs w:val="22"/>
        </w:rPr>
        <w:t>5</w:t>
      </w:r>
      <w:r w:rsidRPr="00413A5E">
        <w:rPr>
          <w:sz w:val="22"/>
          <w:szCs w:val="22"/>
        </w:rPr>
        <w:t>.  It meets the requirements detailed within the Equality Act 2010, and our obligations under the Equality Act (Specific Duties) (Scotland) Regulati</w:t>
      </w:r>
      <w:r w:rsidR="00193004" w:rsidRPr="00413A5E">
        <w:rPr>
          <w:sz w:val="22"/>
          <w:szCs w:val="22"/>
        </w:rPr>
        <w:t>ons</w:t>
      </w:r>
      <w:r w:rsidRPr="00413A5E">
        <w:rPr>
          <w:sz w:val="22"/>
          <w:szCs w:val="22"/>
        </w:rPr>
        <w:t>.</w:t>
      </w:r>
    </w:p>
    <w:p w:rsidR="0094353A" w:rsidRDefault="0094353A" w:rsidP="0094353A">
      <w:pPr>
        <w:jc w:val="both"/>
        <w:rPr>
          <w:sz w:val="22"/>
          <w:szCs w:val="22"/>
          <w:u w:val="single"/>
        </w:rPr>
      </w:pPr>
    </w:p>
    <w:p w:rsidR="004B051F" w:rsidRPr="00413A5E" w:rsidRDefault="004B051F" w:rsidP="0094353A">
      <w:pPr>
        <w:jc w:val="both"/>
        <w:rPr>
          <w:sz w:val="22"/>
          <w:szCs w:val="22"/>
          <w:u w:val="single"/>
        </w:rPr>
      </w:pPr>
    </w:p>
    <w:p w:rsidR="0094353A" w:rsidRPr="00413A5E" w:rsidRDefault="0094353A" w:rsidP="0094353A">
      <w:pPr>
        <w:jc w:val="both"/>
        <w:rPr>
          <w:sz w:val="22"/>
          <w:szCs w:val="22"/>
          <w:u w:val="single"/>
        </w:rPr>
      </w:pPr>
      <w:r w:rsidRPr="00413A5E">
        <w:rPr>
          <w:sz w:val="22"/>
          <w:szCs w:val="22"/>
          <w:u w:val="single"/>
        </w:rPr>
        <w:t>Workforce Categories</w:t>
      </w:r>
    </w:p>
    <w:p w:rsidR="002355F6" w:rsidRPr="00413A5E" w:rsidRDefault="00DB7F55" w:rsidP="002355F6">
      <w:pPr>
        <w:jc w:val="both"/>
        <w:rPr>
          <w:sz w:val="22"/>
          <w:szCs w:val="22"/>
        </w:rPr>
      </w:pPr>
      <w:r>
        <w:rPr>
          <w:sz w:val="22"/>
          <w:szCs w:val="22"/>
        </w:rPr>
        <w:t xml:space="preserve">Under nationally agreed terms and conditions of employment, </w:t>
      </w:r>
      <w:r w:rsidR="000929CD">
        <w:rPr>
          <w:sz w:val="22"/>
          <w:szCs w:val="22"/>
        </w:rPr>
        <w:t xml:space="preserve">NHS </w:t>
      </w:r>
      <w:r>
        <w:rPr>
          <w:sz w:val="22"/>
          <w:szCs w:val="22"/>
        </w:rPr>
        <w:t>e</w:t>
      </w:r>
      <w:r w:rsidR="0094353A" w:rsidRPr="00413A5E">
        <w:rPr>
          <w:sz w:val="22"/>
          <w:szCs w:val="22"/>
        </w:rPr>
        <w:t>mployees are linked to broad organisational groupings</w:t>
      </w:r>
      <w:r w:rsidR="00193004" w:rsidRPr="00413A5E">
        <w:rPr>
          <w:sz w:val="22"/>
          <w:szCs w:val="22"/>
        </w:rPr>
        <w:t xml:space="preserve"> or job c</w:t>
      </w:r>
      <w:r w:rsidR="0094353A" w:rsidRPr="00413A5E">
        <w:rPr>
          <w:sz w:val="22"/>
          <w:szCs w:val="22"/>
        </w:rPr>
        <w:t xml:space="preserve">ategories.  </w:t>
      </w:r>
      <w:r w:rsidR="002355F6" w:rsidRPr="00413A5E">
        <w:rPr>
          <w:sz w:val="22"/>
          <w:szCs w:val="22"/>
        </w:rPr>
        <w:t>The</w:t>
      </w:r>
      <w:r w:rsidR="00533FE3">
        <w:rPr>
          <w:sz w:val="22"/>
          <w:szCs w:val="22"/>
        </w:rPr>
        <w:t>se</w:t>
      </w:r>
      <w:r w:rsidR="002355F6">
        <w:rPr>
          <w:sz w:val="22"/>
          <w:szCs w:val="22"/>
        </w:rPr>
        <w:t xml:space="preserve"> job categories </w:t>
      </w:r>
      <w:r w:rsidR="002355F6" w:rsidRPr="00413A5E">
        <w:rPr>
          <w:sz w:val="22"/>
          <w:szCs w:val="22"/>
        </w:rPr>
        <w:t>are:-</w:t>
      </w:r>
    </w:p>
    <w:p w:rsidR="002355F6" w:rsidRPr="00413A5E" w:rsidRDefault="002355F6" w:rsidP="002355F6">
      <w:pPr>
        <w:jc w:val="both"/>
        <w:rPr>
          <w:sz w:val="22"/>
          <w:szCs w:val="22"/>
        </w:rPr>
      </w:pPr>
    </w:p>
    <w:p w:rsidR="002355F6" w:rsidRPr="00413A5E" w:rsidRDefault="002355F6" w:rsidP="002355F6">
      <w:pPr>
        <w:numPr>
          <w:ilvl w:val="0"/>
          <w:numId w:val="1"/>
        </w:numPr>
        <w:spacing w:after="200" w:line="276" w:lineRule="auto"/>
        <w:jc w:val="both"/>
        <w:rPr>
          <w:sz w:val="22"/>
          <w:szCs w:val="22"/>
        </w:rPr>
      </w:pPr>
      <w:r w:rsidRPr="00413A5E">
        <w:rPr>
          <w:sz w:val="22"/>
          <w:szCs w:val="22"/>
        </w:rPr>
        <w:t>Agenda for Change (e.g. Nursing and Midwifery, Support Services, Allied Health Professionals)</w:t>
      </w:r>
    </w:p>
    <w:p w:rsidR="002355F6" w:rsidRPr="00413A5E" w:rsidRDefault="002355F6" w:rsidP="002355F6">
      <w:pPr>
        <w:numPr>
          <w:ilvl w:val="0"/>
          <w:numId w:val="1"/>
        </w:numPr>
        <w:spacing w:after="200" w:line="276" w:lineRule="auto"/>
        <w:jc w:val="both"/>
        <w:rPr>
          <w:sz w:val="22"/>
          <w:szCs w:val="22"/>
        </w:rPr>
      </w:pPr>
      <w:r w:rsidRPr="00413A5E">
        <w:rPr>
          <w:sz w:val="22"/>
          <w:szCs w:val="22"/>
        </w:rPr>
        <w:t>Executive and Senior Managers, and</w:t>
      </w:r>
    </w:p>
    <w:p w:rsidR="002355F6" w:rsidRPr="00413A5E" w:rsidRDefault="002355F6" w:rsidP="002355F6">
      <w:pPr>
        <w:numPr>
          <w:ilvl w:val="0"/>
          <w:numId w:val="1"/>
        </w:numPr>
        <w:spacing w:after="200" w:line="276" w:lineRule="auto"/>
        <w:jc w:val="both"/>
        <w:rPr>
          <w:sz w:val="22"/>
          <w:szCs w:val="22"/>
        </w:rPr>
      </w:pPr>
      <w:r w:rsidRPr="00413A5E">
        <w:rPr>
          <w:sz w:val="22"/>
          <w:szCs w:val="22"/>
        </w:rPr>
        <w:t xml:space="preserve">Medical and Dental (e.g. Consultants, Specialty Doctors, Training Grade Doctors) </w:t>
      </w:r>
    </w:p>
    <w:p w:rsidR="003026FF" w:rsidRDefault="00E23A3B" w:rsidP="002355F6">
      <w:pPr>
        <w:jc w:val="both"/>
        <w:rPr>
          <w:sz w:val="22"/>
          <w:szCs w:val="22"/>
        </w:rPr>
      </w:pPr>
      <w:r>
        <w:rPr>
          <w:sz w:val="22"/>
          <w:szCs w:val="22"/>
        </w:rPr>
        <w:t>The level of remuneration within these job categories</w:t>
      </w:r>
      <w:r w:rsidR="000B3717">
        <w:rPr>
          <w:sz w:val="22"/>
          <w:szCs w:val="22"/>
        </w:rPr>
        <w:t xml:space="preserve"> </w:t>
      </w:r>
      <w:r>
        <w:rPr>
          <w:sz w:val="22"/>
          <w:szCs w:val="22"/>
        </w:rPr>
        <w:t xml:space="preserve">is determined by </w:t>
      </w:r>
      <w:r w:rsidR="003026FF">
        <w:rPr>
          <w:sz w:val="22"/>
          <w:szCs w:val="22"/>
        </w:rPr>
        <w:t>two factors:</w:t>
      </w:r>
    </w:p>
    <w:p w:rsidR="003026FF" w:rsidRDefault="003026FF" w:rsidP="002355F6">
      <w:pPr>
        <w:jc w:val="both"/>
        <w:rPr>
          <w:sz w:val="22"/>
          <w:szCs w:val="22"/>
        </w:rPr>
      </w:pPr>
    </w:p>
    <w:p w:rsidR="00E23A3B" w:rsidRDefault="003026FF" w:rsidP="003026FF">
      <w:pPr>
        <w:pStyle w:val="ListParagraph"/>
        <w:numPr>
          <w:ilvl w:val="0"/>
          <w:numId w:val="5"/>
        </w:numPr>
        <w:jc w:val="both"/>
        <w:rPr>
          <w:sz w:val="22"/>
          <w:szCs w:val="22"/>
        </w:rPr>
      </w:pPr>
      <w:r>
        <w:rPr>
          <w:sz w:val="22"/>
          <w:szCs w:val="22"/>
        </w:rPr>
        <w:t>J</w:t>
      </w:r>
      <w:r w:rsidR="00E23A3B" w:rsidRPr="003026FF">
        <w:rPr>
          <w:sz w:val="22"/>
          <w:szCs w:val="22"/>
        </w:rPr>
        <w:t xml:space="preserve">ob evaluation processes </w:t>
      </w:r>
      <w:r>
        <w:rPr>
          <w:sz w:val="22"/>
          <w:szCs w:val="22"/>
        </w:rPr>
        <w:t>determine the pay band and pay grades of jobs</w:t>
      </w:r>
      <w:r w:rsidR="002E3B55">
        <w:rPr>
          <w:sz w:val="22"/>
          <w:szCs w:val="22"/>
        </w:rPr>
        <w:t xml:space="preserve"> in the first two categories</w:t>
      </w:r>
      <w:r>
        <w:rPr>
          <w:sz w:val="22"/>
          <w:szCs w:val="22"/>
        </w:rPr>
        <w:t xml:space="preserve">.  This ensures </w:t>
      </w:r>
      <w:r w:rsidR="00533FE3" w:rsidRPr="003026FF">
        <w:rPr>
          <w:sz w:val="22"/>
          <w:szCs w:val="22"/>
        </w:rPr>
        <w:t xml:space="preserve">employees </w:t>
      </w:r>
      <w:r w:rsidR="00E23A3B" w:rsidRPr="003026FF">
        <w:rPr>
          <w:sz w:val="22"/>
          <w:szCs w:val="22"/>
        </w:rPr>
        <w:t>receive equal pay for the same or broadly similar work, or work rated as equivalent and f</w:t>
      </w:r>
      <w:r w:rsidR="005451BD" w:rsidRPr="003026FF">
        <w:rPr>
          <w:sz w:val="22"/>
          <w:szCs w:val="22"/>
        </w:rPr>
        <w:t xml:space="preserve">or work of equal value.  There </w:t>
      </w:r>
      <w:r w:rsidR="00E23A3B" w:rsidRPr="003026FF">
        <w:rPr>
          <w:sz w:val="22"/>
          <w:szCs w:val="22"/>
        </w:rPr>
        <w:t>s</w:t>
      </w:r>
      <w:r w:rsidR="005451BD" w:rsidRPr="003026FF">
        <w:rPr>
          <w:sz w:val="22"/>
          <w:szCs w:val="22"/>
        </w:rPr>
        <w:t>hould</w:t>
      </w:r>
      <w:r w:rsidR="00E23A3B" w:rsidRPr="003026FF">
        <w:rPr>
          <w:sz w:val="22"/>
          <w:szCs w:val="22"/>
        </w:rPr>
        <w:t xml:space="preserve"> therefore </w:t>
      </w:r>
      <w:r w:rsidR="005451BD" w:rsidRPr="003026FF">
        <w:rPr>
          <w:sz w:val="22"/>
          <w:szCs w:val="22"/>
        </w:rPr>
        <w:t xml:space="preserve">be </w:t>
      </w:r>
      <w:r w:rsidR="000929CD">
        <w:rPr>
          <w:sz w:val="22"/>
          <w:szCs w:val="22"/>
        </w:rPr>
        <w:t xml:space="preserve">no </w:t>
      </w:r>
      <w:r w:rsidR="00E23A3B" w:rsidRPr="003026FF">
        <w:rPr>
          <w:sz w:val="22"/>
          <w:szCs w:val="22"/>
        </w:rPr>
        <w:t xml:space="preserve">variation in the basic hourly earnings of employees, employed on the same pay band or grade, due to their </w:t>
      </w:r>
      <w:r w:rsidR="000B3717" w:rsidRPr="003026FF">
        <w:rPr>
          <w:sz w:val="22"/>
          <w:szCs w:val="22"/>
        </w:rPr>
        <w:t xml:space="preserve">Protected Characteristic </w:t>
      </w:r>
      <w:r w:rsidR="00533FE3" w:rsidRPr="003026FF">
        <w:rPr>
          <w:sz w:val="22"/>
          <w:szCs w:val="22"/>
        </w:rPr>
        <w:t>s</w:t>
      </w:r>
      <w:r w:rsidR="000B3717" w:rsidRPr="003026FF">
        <w:rPr>
          <w:sz w:val="22"/>
          <w:szCs w:val="22"/>
        </w:rPr>
        <w:t>tatus</w:t>
      </w:r>
      <w:r w:rsidR="00E23A3B" w:rsidRPr="003026FF">
        <w:rPr>
          <w:sz w:val="22"/>
          <w:szCs w:val="22"/>
        </w:rPr>
        <w:t>.</w:t>
      </w:r>
    </w:p>
    <w:p w:rsidR="003026FF" w:rsidRPr="003026FF" w:rsidRDefault="003026FF" w:rsidP="003026FF">
      <w:pPr>
        <w:pStyle w:val="ListParagraph"/>
        <w:numPr>
          <w:ilvl w:val="0"/>
          <w:numId w:val="5"/>
        </w:numPr>
        <w:jc w:val="both"/>
        <w:rPr>
          <w:sz w:val="22"/>
          <w:szCs w:val="22"/>
        </w:rPr>
      </w:pPr>
      <w:r>
        <w:rPr>
          <w:sz w:val="22"/>
          <w:szCs w:val="22"/>
        </w:rPr>
        <w:t xml:space="preserve">With the exception of the Executive and Senior Managers scales, </w:t>
      </w:r>
      <w:r w:rsidR="002E3B55">
        <w:rPr>
          <w:sz w:val="22"/>
          <w:szCs w:val="22"/>
        </w:rPr>
        <w:t xml:space="preserve">the majority of </w:t>
      </w:r>
      <w:r>
        <w:rPr>
          <w:sz w:val="22"/>
          <w:szCs w:val="22"/>
        </w:rPr>
        <w:t xml:space="preserve">employees move up </w:t>
      </w:r>
      <w:r w:rsidR="000929CD">
        <w:rPr>
          <w:sz w:val="22"/>
          <w:szCs w:val="22"/>
        </w:rPr>
        <w:t xml:space="preserve">scale </w:t>
      </w:r>
      <w:r>
        <w:rPr>
          <w:sz w:val="22"/>
          <w:szCs w:val="22"/>
        </w:rPr>
        <w:t>points within each pay band or pay grade</w:t>
      </w:r>
      <w:r w:rsidR="002E3B55">
        <w:rPr>
          <w:sz w:val="22"/>
          <w:szCs w:val="22"/>
        </w:rPr>
        <w:t>,</w:t>
      </w:r>
      <w:r>
        <w:rPr>
          <w:sz w:val="22"/>
          <w:szCs w:val="22"/>
        </w:rPr>
        <w:t xml:space="preserve"> based on annual increments.  Each year of service on a pay band or pay grade equates to moving up one incremental </w:t>
      </w:r>
      <w:r w:rsidR="000929CD">
        <w:rPr>
          <w:sz w:val="22"/>
          <w:szCs w:val="22"/>
        </w:rPr>
        <w:t xml:space="preserve">scale </w:t>
      </w:r>
      <w:r>
        <w:rPr>
          <w:sz w:val="22"/>
          <w:szCs w:val="22"/>
        </w:rPr>
        <w:t>point.</w:t>
      </w:r>
      <w:r w:rsidR="00BF003A">
        <w:rPr>
          <w:sz w:val="22"/>
          <w:szCs w:val="22"/>
        </w:rPr>
        <w:t xml:space="preserve">  Executive and Senior Manager progression includes an element of performance related pay progression.</w:t>
      </w:r>
    </w:p>
    <w:p w:rsidR="00E23A3B" w:rsidRDefault="00E23A3B" w:rsidP="002355F6">
      <w:pPr>
        <w:jc w:val="both"/>
        <w:rPr>
          <w:sz w:val="22"/>
          <w:szCs w:val="22"/>
        </w:rPr>
      </w:pPr>
    </w:p>
    <w:p w:rsidR="004B051F" w:rsidRDefault="004B051F" w:rsidP="002355F6">
      <w:pPr>
        <w:jc w:val="both"/>
        <w:rPr>
          <w:sz w:val="22"/>
          <w:szCs w:val="22"/>
        </w:rPr>
      </w:pPr>
    </w:p>
    <w:p w:rsidR="00E23A3B" w:rsidRPr="00E23A3B" w:rsidRDefault="00D84D92" w:rsidP="002355F6">
      <w:pPr>
        <w:jc w:val="both"/>
        <w:rPr>
          <w:sz w:val="22"/>
          <w:szCs w:val="22"/>
          <w:u w:val="single"/>
        </w:rPr>
      </w:pPr>
      <w:r>
        <w:rPr>
          <w:sz w:val="22"/>
          <w:szCs w:val="22"/>
          <w:u w:val="single"/>
        </w:rPr>
        <w:t xml:space="preserve">Pay Data and </w:t>
      </w:r>
      <w:r w:rsidR="00E23A3B" w:rsidRPr="00E23A3B">
        <w:rPr>
          <w:sz w:val="22"/>
          <w:szCs w:val="22"/>
          <w:u w:val="single"/>
        </w:rPr>
        <w:t>Audit Methodology</w:t>
      </w:r>
    </w:p>
    <w:p w:rsidR="00E23A3B" w:rsidRDefault="000B3717" w:rsidP="002355F6">
      <w:pPr>
        <w:jc w:val="both"/>
        <w:rPr>
          <w:sz w:val="22"/>
          <w:szCs w:val="22"/>
        </w:rPr>
      </w:pPr>
      <w:r>
        <w:rPr>
          <w:sz w:val="22"/>
          <w:szCs w:val="22"/>
        </w:rPr>
        <w:t xml:space="preserve">In accordance with the Equality Act Regulations, </w:t>
      </w:r>
      <w:r w:rsidR="00E23A3B">
        <w:rPr>
          <w:sz w:val="22"/>
          <w:szCs w:val="22"/>
        </w:rPr>
        <w:t xml:space="preserve">Equal Pay Audits were undertaken on the Protected Characteristics of Disability, Gender and Race </w:t>
      </w:r>
      <w:r w:rsidR="004B051F">
        <w:rPr>
          <w:sz w:val="22"/>
          <w:szCs w:val="22"/>
        </w:rPr>
        <w:t xml:space="preserve">for </w:t>
      </w:r>
      <w:r w:rsidR="00E23A3B">
        <w:rPr>
          <w:sz w:val="22"/>
          <w:szCs w:val="22"/>
        </w:rPr>
        <w:t xml:space="preserve">employees </w:t>
      </w:r>
      <w:r w:rsidR="004B051F">
        <w:rPr>
          <w:sz w:val="22"/>
          <w:szCs w:val="22"/>
        </w:rPr>
        <w:t xml:space="preserve">who </w:t>
      </w:r>
      <w:r w:rsidR="00E23A3B">
        <w:rPr>
          <w:sz w:val="22"/>
          <w:szCs w:val="22"/>
        </w:rPr>
        <w:t xml:space="preserve">had provided a positive response within their </w:t>
      </w:r>
      <w:r w:rsidR="002E3B55">
        <w:rPr>
          <w:sz w:val="22"/>
          <w:szCs w:val="22"/>
        </w:rPr>
        <w:t>Equal O</w:t>
      </w:r>
      <w:r w:rsidR="00E23A3B">
        <w:rPr>
          <w:sz w:val="22"/>
          <w:szCs w:val="22"/>
        </w:rPr>
        <w:t xml:space="preserve">pportunity </w:t>
      </w:r>
      <w:r w:rsidR="004B051F">
        <w:rPr>
          <w:sz w:val="22"/>
          <w:szCs w:val="22"/>
        </w:rPr>
        <w:t>questionnaire</w:t>
      </w:r>
      <w:r w:rsidR="00E23A3B">
        <w:rPr>
          <w:sz w:val="22"/>
          <w:szCs w:val="22"/>
        </w:rPr>
        <w:t xml:space="preserve">.  Entries which were blank, or where employees opted not to provide these details, were discounted.  </w:t>
      </w:r>
      <w:r>
        <w:rPr>
          <w:sz w:val="22"/>
          <w:szCs w:val="22"/>
        </w:rPr>
        <w:t xml:space="preserve">The table below provides the percentage of </w:t>
      </w:r>
      <w:r w:rsidR="0054163F">
        <w:rPr>
          <w:sz w:val="22"/>
          <w:szCs w:val="22"/>
        </w:rPr>
        <w:t xml:space="preserve">workforce </w:t>
      </w:r>
      <w:r>
        <w:rPr>
          <w:sz w:val="22"/>
          <w:szCs w:val="22"/>
        </w:rPr>
        <w:t>who recorded a positive response for each of the characteristics.</w:t>
      </w:r>
    </w:p>
    <w:p w:rsidR="000B3717" w:rsidRDefault="000B3717" w:rsidP="002355F6">
      <w:pPr>
        <w:jc w:val="both"/>
        <w:rPr>
          <w:sz w:val="22"/>
          <w:szCs w:val="22"/>
        </w:rPr>
      </w:pPr>
    </w:p>
    <w:p w:rsidR="00C2640B" w:rsidRDefault="00C2640B" w:rsidP="002355F6">
      <w:pPr>
        <w:jc w:val="both"/>
        <w:rPr>
          <w:sz w:val="22"/>
          <w:szCs w:val="22"/>
        </w:rPr>
      </w:pPr>
    </w:p>
    <w:tbl>
      <w:tblPr>
        <w:tblStyle w:val="TableGrid"/>
        <w:tblW w:w="0" w:type="auto"/>
        <w:jc w:val="center"/>
        <w:tblLook w:val="04A0"/>
      </w:tblPr>
      <w:tblGrid>
        <w:gridCol w:w="1685"/>
        <w:gridCol w:w="1429"/>
        <w:gridCol w:w="1395"/>
        <w:gridCol w:w="1365"/>
      </w:tblGrid>
      <w:tr w:rsidR="007560D0" w:rsidRPr="007560D0" w:rsidTr="007560D0">
        <w:trPr>
          <w:jc w:val="center"/>
        </w:trPr>
        <w:tc>
          <w:tcPr>
            <w:tcW w:w="1685" w:type="dxa"/>
          </w:tcPr>
          <w:p w:rsidR="007560D0" w:rsidRPr="007560D0" w:rsidRDefault="007560D0" w:rsidP="002355F6">
            <w:pPr>
              <w:jc w:val="both"/>
              <w:rPr>
                <w:rFonts w:cs="Arial"/>
                <w:szCs w:val="22"/>
              </w:rPr>
            </w:pPr>
            <w:r w:rsidRPr="007560D0">
              <w:rPr>
                <w:rFonts w:cs="Arial"/>
                <w:b/>
                <w:szCs w:val="22"/>
              </w:rPr>
              <w:t>Characteristic</w:t>
            </w:r>
          </w:p>
        </w:tc>
        <w:tc>
          <w:tcPr>
            <w:tcW w:w="1429" w:type="dxa"/>
          </w:tcPr>
          <w:p w:rsidR="007560D0" w:rsidRPr="007560D0" w:rsidRDefault="007560D0" w:rsidP="002355F6">
            <w:pPr>
              <w:jc w:val="both"/>
              <w:rPr>
                <w:rFonts w:cs="Arial"/>
                <w:szCs w:val="22"/>
              </w:rPr>
            </w:pPr>
            <w:r w:rsidRPr="007560D0">
              <w:rPr>
                <w:rFonts w:cs="Arial"/>
                <w:szCs w:val="22"/>
              </w:rPr>
              <w:t>Disability</w:t>
            </w:r>
          </w:p>
        </w:tc>
        <w:tc>
          <w:tcPr>
            <w:tcW w:w="1395" w:type="dxa"/>
          </w:tcPr>
          <w:p w:rsidR="007560D0" w:rsidRPr="007560D0" w:rsidRDefault="007560D0" w:rsidP="002355F6">
            <w:pPr>
              <w:jc w:val="both"/>
              <w:rPr>
                <w:rFonts w:cs="Arial"/>
                <w:szCs w:val="22"/>
              </w:rPr>
            </w:pPr>
            <w:r w:rsidRPr="007560D0">
              <w:rPr>
                <w:rFonts w:cs="Arial"/>
                <w:szCs w:val="22"/>
              </w:rPr>
              <w:t>Gender</w:t>
            </w:r>
          </w:p>
        </w:tc>
        <w:tc>
          <w:tcPr>
            <w:tcW w:w="1365" w:type="dxa"/>
          </w:tcPr>
          <w:p w:rsidR="007560D0" w:rsidRPr="007560D0" w:rsidRDefault="007560D0" w:rsidP="002355F6">
            <w:pPr>
              <w:jc w:val="both"/>
              <w:rPr>
                <w:rFonts w:cs="Arial"/>
                <w:szCs w:val="22"/>
              </w:rPr>
            </w:pPr>
            <w:r w:rsidRPr="007560D0">
              <w:rPr>
                <w:rFonts w:cs="Arial"/>
                <w:szCs w:val="22"/>
              </w:rPr>
              <w:t>Race</w:t>
            </w:r>
          </w:p>
        </w:tc>
      </w:tr>
      <w:tr w:rsidR="00DB7F55" w:rsidRPr="007560D0" w:rsidTr="007560D0">
        <w:trPr>
          <w:jc w:val="center"/>
        </w:trPr>
        <w:tc>
          <w:tcPr>
            <w:tcW w:w="1685" w:type="dxa"/>
          </w:tcPr>
          <w:p w:rsidR="00DB7F55" w:rsidRPr="007560D0" w:rsidRDefault="00DB7F55" w:rsidP="002355F6">
            <w:pPr>
              <w:jc w:val="both"/>
              <w:rPr>
                <w:rFonts w:cs="Arial"/>
                <w:szCs w:val="22"/>
              </w:rPr>
            </w:pPr>
            <w:r>
              <w:rPr>
                <w:rFonts w:cs="Arial"/>
                <w:szCs w:val="22"/>
              </w:rPr>
              <w:t>Response</w:t>
            </w:r>
          </w:p>
        </w:tc>
        <w:tc>
          <w:tcPr>
            <w:tcW w:w="1429" w:type="dxa"/>
          </w:tcPr>
          <w:p w:rsidR="00DB7F55" w:rsidRPr="007560D0" w:rsidRDefault="00DB7F55" w:rsidP="007560D0">
            <w:pPr>
              <w:jc w:val="right"/>
              <w:rPr>
                <w:rFonts w:cs="Arial"/>
                <w:szCs w:val="22"/>
              </w:rPr>
            </w:pPr>
            <w:r>
              <w:rPr>
                <w:rFonts w:cs="Arial"/>
                <w:szCs w:val="22"/>
              </w:rPr>
              <w:t>46.8%</w:t>
            </w:r>
          </w:p>
        </w:tc>
        <w:tc>
          <w:tcPr>
            <w:tcW w:w="1395" w:type="dxa"/>
          </w:tcPr>
          <w:p w:rsidR="00DB7F55" w:rsidRPr="007560D0" w:rsidRDefault="00DB7F55" w:rsidP="007560D0">
            <w:pPr>
              <w:jc w:val="right"/>
              <w:rPr>
                <w:rFonts w:cs="Arial"/>
                <w:szCs w:val="22"/>
              </w:rPr>
            </w:pPr>
            <w:r>
              <w:rPr>
                <w:rFonts w:cs="Arial"/>
                <w:szCs w:val="22"/>
              </w:rPr>
              <w:t>100.0%</w:t>
            </w:r>
          </w:p>
        </w:tc>
        <w:tc>
          <w:tcPr>
            <w:tcW w:w="1365" w:type="dxa"/>
          </w:tcPr>
          <w:p w:rsidR="00DB7F55" w:rsidRPr="007560D0" w:rsidRDefault="00DB7F55" w:rsidP="007560D0">
            <w:pPr>
              <w:jc w:val="right"/>
              <w:rPr>
                <w:rFonts w:cs="Arial"/>
                <w:szCs w:val="22"/>
              </w:rPr>
            </w:pPr>
            <w:r>
              <w:rPr>
                <w:rFonts w:cs="Arial"/>
                <w:szCs w:val="22"/>
              </w:rPr>
              <w:t>68.8%</w:t>
            </w:r>
          </w:p>
        </w:tc>
      </w:tr>
      <w:tr w:rsidR="007560D0" w:rsidRPr="007560D0" w:rsidTr="007560D0">
        <w:trPr>
          <w:jc w:val="center"/>
        </w:trPr>
        <w:tc>
          <w:tcPr>
            <w:tcW w:w="1685" w:type="dxa"/>
          </w:tcPr>
          <w:p w:rsidR="007560D0" w:rsidRPr="007560D0" w:rsidRDefault="000929CD" w:rsidP="000929CD">
            <w:pPr>
              <w:rPr>
                <w:rFonts w:cs="Arial"/>
                <w:szCs w:val="22"/>
              </w:rPr>
            </w:pPr>
            <w:r>
              <w:rPr>
                <w:rFonts w:cs="Arial"/>
                <w:szCs w:val="22"/>
              </w:rPr>
              <w:t xml:space="preserve">% </w:t>
            </w:r>
            <w:r w:rsidR="007560D0" w:rsidRPr="007560D0">
              <w:rPr>
                <w:rFonts w:cs="Arial"/>
                <w:szCs w:val="22"/>
              </w:rPr>
              <w:t>Change since 202</w:t>
            </w:r>
            <w:r w:rsidR="00DB7F55">
              <w:rPr>
                <w:rFonts w:cs="Arial"/>
                <w:szCs w:val="22"/>
              </w:rPr>
              <w:t>3</w:t>
            </w:r>
          </w:p>
        </w:tc>
        <w:tc>
          <w:tcPr>
            <w:tcW w:w="1429" w:type="dxa"/>
          </w:tcPr>
          <w:p w:rsidR="007560D0" w:rsidRPr="00DB7F55" w:rsidRDefault="00DB7F55" w:rsidP="00DB7F55">
            <w:pPr>
              <w:jc w:val="right"/>
              <w:rPr>
                <w:rFonts w:cs="Arial"/>
                <w:color w:val="FF0000"/>
                <w:szCs w:val="22"/>
              </w:rPr>
            </w:pPr>
            <w:r w:rsidRPr="00DB7F55">
              <w:rPr>
                <w:rFonts w:cs="Arial"/>
                <w:color w:val="FF0000"/>
                <w:szCs w:val="22"/>
              </w:rPr>
              <w:t>-</w:t>
            </w:r>
            <w:r w:rsidR="007560D0" w:rsidRPr="00DB7F55">
              <w:rPr>
                <w:rFonts w:cs="Arial"/>
                <w:color w:val="FF0000"/>
                <w:szCs w:val="22"/>
              </w:rPr>
              <w:t xml:space="preserve"> 5.</w:t>
            </w:r>
            <w:r w:rsidRPr="00DB7F55">
              <w:rPr>
                <w:rFonts w:cs="Arial"/>
                <w:color w:val="FF0000"/>
                <w:szCs w:val="22"/>
              </w:rPr>
              <w:t>7</w:t>
            </w:r>
            <w:r w:rsidR="007560D0" w:rsidRPr="00DB7F55">
              <w:rPr>
                <w:rFonts w:cs="Arial"/>
                <w:color w:val="FF0000"/>
                <w:szCs w:val="22"/>
              </w:rPr>
              <w:t>%</w:t>
            </w:r>
          </w:p>
        </w:tc>
        <w:tc>
          <w:tcPr>
            <w:tcW w:w="1395" w:type="dxa"/>
          </w:tcPr>
          <w:p w:rsidR="007560D0" w:rsidRPr="007560D0" w:rsidRDefault="007560D0" w:rsidP="007560D0">
            <w:pPr>
              <w:pStyle w:val="ListParagraph"/>
              <w:ind w:left="420"/>
              <w:rPr>
                <w:rFonts w:cs="Arial"/>
                <w:szCs w:val="22"/>
              </w:rPr>
            </w:pPr>
            <w:r w:rsidRPr="007560D0">
              <w:rPr>
                <w:rFonts w:cs="Arial"/>
                <w:szCs w:val="22"/>
              </w:rPr>
              <w:t>-</w:t>
            </w:r>
          </w:p>
        </w:tc>
        <w:tc>
          <w:tcPr>
            <w:tcW w:w="1365" w:type="dxa"/>
          </w:tcPr>
          <w:p w:rsidR="007560D0" w:rsidRPr="007560D0" w:rsidRDefault="007560D0" w:rsidP="00DB7F55">
            <w:pPr>
              <w:jc w:val="right"/>
              <w:rPr>
                <w:rFonts w:cs="Arial"/>
                <w:szCs w:val="22"/>
              </w:rPr>
            </w:pPr>
            <w:r w:rsidRPr="007560D0">
              <w:rPr>
                <w:rFonts w:cs="Arial"/>
                <w:szCs w:val="22"/>
              </w:rPr>
              <w:t xml:space="preserve">+ </w:t>
            </w:r>
            <w:r w:rsidR="00DB7F55">
              <w:rPr>
                <w:rFonts w:cs="Arial"/>
                <w:szCs w:val="22"/>
              </w:rPr>
              <w:t>7.8</w:t>
            </w:r>
            <w:r w:rsidRPr="007560D0">
              <w:rPr>
                <w:rFonts w:cs="Arial"/>
                <w:szCs w:val="22"/>
              </w:rPr>
              <w:t>%</w:t>
            </w:r>
          </w:p>
        </w:tc>
      </w:tr>
    </w:tbl>
    <w:p w:rsidR="00C2640B" w:rsidRDefault="00C2640B" w:rsidP="002355F6">
      <w:pPr>
        <w:jc w:val="both"/>
        <w:rPr>
          <w:sz w:val="22"/>
          <w:szCs w:val="22"/>
        </w:rPr>
      </w:pPr>
    </w:p>
    <w:p w:rsidR="002E3B55" w:rsidRDefault="00BB78BE" w:rsidP="002355F6">
      <w:pPr>
        <w:jc w:val="both"/>
        <w:rPr>
          <w:sz w:val="22"/>
          <w:szCs w:val="22"/>
        </w:rPr>
      </w:pPr>
      <w:r>
        <w:rPr>
          <w:sz w:val="22"/>
          <w:szCs w:val="22"/>
        </w:rPr>
        <w:t xml:space="preserve">The reduction in the number of employees providing a positive response </w:t>
      </w:r>
      <w:r w:rsidR="00BF003A">
        <w:rPr>
          <w:sz w:val="22"/>
          <w:szCs w:val="22"/>
        </w:rPr>
        <w:t>for the Protected Characteristic of disability is</w:t>
      </w:r>
      <w:r w:rsidR="00D84D92">
        <w:rPr>
          <w:sz w:val="22"/>
          <w:szCs w:val="22"/>
        </w:rPr>
        <w:t xml:space="preserve"> explored further in the section </w:t>
      </w:r>
      <w:r w:rsidR="00BF003A">
        <w:rPr>
          <w:sz w:val="22"/>
          <w:szCs w:val="22"/>
        </w:rPr>
        <w:t xml:space="preserve">below </w:t>
      </w:r>
      <w:r w:rsidR="00D84D92">
        <w:rPr>
          <w:sz w:val="22"/>
          <w:szCs w:val="22"/>
        </w:rPr>
        <w:t>on Occupational Segregation and Closing the Pay Gap.</w:t>
      </w:r>
    </w:p>
    <w:p w:rsidR="000B3717" w:rsidRDefault="00D84D92" w:rsidP="002355F6">
      <w:pPr>
        <w:jc w:val="both"/>
        <w:rPr>
          <w:sz w:val="22"/>
          <w:szCs w:val="22"/>
        </w:rPr>
      </w:pPr>
      <w:r>
        <w:rPr>
          <w:sz w:val="22"/>
          <w:szCs w:val="22"/>
        </w:rPr>
        <w:lastRenderedPageBreak/>
        <w:t xml:space="preserve">For the purposes of this audit, the monetary and percentage pay gap value identified is based on the </w:t>
      </w:r>
      <w:r w:rsidR="000B3717">
        <w:rPr>
          <w:sz w:val="22"/>
          <w:szCs w:val="22"/>
        </w:rPr>
        <w:t>average hourly pay</w:t>
      </w:r>
      <w:r w:rsidR="002E3B55">
        <w:rPr>
          <w:sz w:val="22"/>
          <w:szCs w:val="22"/>
        </w:rPr>
        <w:t>,</w:t>
      </w:r>
      <w:r w:rsidR="000B3717">
        <w:rPr>
          <w:sz w:val="22"/>
          <w:szCs w:val="22"/>
        </w:rPr>
        <w:t xml:space="preserve"> (excluding overtime)</w:t>
      </w:r>
      <w:r w:rsidR="00E23A3B">
        <w:rPr>
          <w:sz w:val="22"/>
          <w:szCs w:val="22"/>
        </w:rPr>
        <w:t xml:space="preserve">, among our employees, between </w:t>
      </w:r>
      <w:r w:rsidR="004B051F">
        <w:rPr>
          <w:sz w:val="22"/>
          <w:szCs w:val="22"/>
        </w:rPr>
        <w:t xml:space="preserve">persons who </w:t>
      </w:r>
      <w:r w:rsidR="004C58A1">
        <w:rPr>
          <w:sz w:val="22"/>
          <w:szCs w:val="22"/>
        </w:rPr>
        <w:t xml:space="preserve">identified as holding </w:t>
      </w:r>
      <w:r w:rsidR="004B051F">
        <w:rPr>
          <w:sz w:val="22"/>
          <w:szCs w:val="22"/>
        </w:rPr>
        <w:t xml:space="preserve">a particular </w:t>
      </w:r>
      <w:r w:rsidR="00BF003A">
        <w:rPr>
          <w:sz w:val="22"/>
          <w:szCs w:val="22"/>
        </w:rPr>
        <w:t xml:space="preserve">Protected </w:t>
      </w:r>
      <w:r w:rsidR="004B051F">
        <w:rPr>
          <w:sz w:val="22"/>
          <w:szCs w:val="22"/>
        </w:rPr>
        <w:t>Characteristic</w:t>
      </w:r>
      <w:r w:rsidR="000B3717">
        <w:rPr>
          <w:sz w:val="22"/>
          <w:szCs w:val="22"/>
        </w:rPr>
        <w:t xml:space="preserve"> </w:t>
      </w:r>
      <w:r w:rsidR="004B051F">
        <w:rPr>
          <w:sz w:val="22"/>
          <w:szCs w:val="22"/>
        </w:rPr>
        <w:t xml:space="preserve">and persons who did not hold the </w:t>
      </w:r>
      <w:r w:rsidR="00BF003A">
        <w:rPr>
          <w:sz w:val="22"/>
          <w:szCs w:val="22"/>
        </w:rPr>
        <w:t xml:space="preserve">Protected </w:t>
      </w:r>
      <w:r w:rsidR="004B051F">
        <w:rPr>
          <w:sz w:val="22"/>
          <w:szCs w:val="22"/>
        </w:rPr>
        <w:t>Characteristic.</w:t>
      </w:r>
      <w:r>
        <w:rPr>
          <w:sz w:val="22"/>
          <w:szCs w:val="22"/>
        </w:rPr>
        <w:t xml:space="preserve">  </w:t>
      </w:r>
      <w:r w:rsidR="004B051F">
        <w:rPr>
          <w:sz w:val="22"/>
          <w:szCs w:val="22"/>
        </w:rPr>
        <w:t xml:space="preserve">The </w:t>
      </w:r>
      <w:r w:rsidR="002E3B55">
        <w:rPr>
          <w:sz w:val="22"/>
          <w:szCs w:val="22"/>
        </w:rPr>
        <w:t>A</w:t>
      </w:r>
      <w:r w:rsidR="004B051F">
        <w:rPr>
          <w:sz w:val="22"/>
          <w:szCs w:val="22"/>
        </w:rPr>
        <w:t xml:space="preserve">udit </w:t>
      </w:r>
      <w:r w:rsidR="00BB78BE">
        <w:rPr>
          <w:sz w:val="22"/>
          <w:szCs w:val="22"/>
        </w:rPr>
        <w:t xml:space="preserve">utilises </w:t>
      </w:r>
      <w:r w:rsidR="00E85E61">
        <w:rPr>
          <w:sz w:val="22"/>
          <w:szCs w:val="22"/>
        </w:rPr>
        <w:t xml:space="preserve">payroll records extracted in </w:t>
      </w:r>
      <w:r w:rsidR="00F17060">
        <w:rPr>
          <w:sz w:val="22"/>
          <w:szCs w:val="22"/>
        </w:rPr>
        <w:t>January 202</w:t>
      </w:r>
      <w:r w:rsidR="00DB7F55">
        <w:rPr>
          <w:sz w:val="22"/>
          <w:szCs w:val="22"/>
        </w:rPr>
        <w:t>5</w:t>
      </w:r>
      <w:r w:rsidR="004B051F">
        <w:rPr>
          <w:sz w:val="22"/>
          <w:szCs w:val="22"/>
        </w:rPr>
        <w:t xml:space="preserve">.  </w:t>
      </w:r>
      <w:r w:rsidR="004C58A1">
        <w:rPr>
          <w:sz w:val="22"/>
          <w:szCs w:val="22"/>
        </w:rPr>
        <w:t>N</w:t>
      </w:r>
      <w:r w:rsidR="00193004" w:rsidRPr="00413A5E">
        <w:rPr>
          <w:sz w:val="22"/>
          <w:szCs w:val="22"/>
        </w:rPr>
        <w:t xml:space="preserve">HS Fife </w:t>
      </w:r>
      <w:r w:rsidR="002E3B55">
        <w:rPr>
          <w:sz w:val="22"/>
          <w:szCs w:val="22"/>
        </w:rPr>
        <w:t>processed a total of 10,045 p</w:t>
      </w:r>
      <w:r w:rsidR="004C58A1">
        <w:rPr>
          <w:sz w:val="22"/>
          <w:szCs w:val="22"/>
        </w:rPr>
        <w:t xml:space="preserve">ayments during this pay period, involving </w:t>
      </w:r>
      <w:r w:rsidR="00191703">
        <w:rPr>
          <w:sz w:val="22"/>
          <w:szCs w:val="22"/>
        </w:rPr>
        <w:t>9,</w:t>
      </w:r>
      <w:r w:rsidR="00DB7F55">
        <w:rPr>
          <w:sz w:val="22"/>
          <w:szCs w:val="22"/>
        </w:rPr>
        <w:t>954</w:t>
      </w:r>
      <w:r w:rsidR="00E23A3B">
        <w:rPr>
          <w:sz w:val="22"/>
          <w:szCs w:val="22"/>
        </w:rPr>
        <w:t xml:space="preserve"> employees</w:t>
      </w:r>
      <w:r w:rsidR="004C58A1">
        <w:rPr>
          <w:sz w:val="22"/>
          <w:szCs w:val="22"/>
        </w:rPr>
        <w:t>.</w:t>
      </w:r>
      <w:r w:rsidR="004213D1">
        <w:rPr>
          <w:sz w:val="22"/>
          <w:szCs w:val="22"/>
        </w:rPr>
        <w:t xml:space="preserve">  This reflects a small number of employees holding multiple positions.</w:t>
      </w:r>
      <w:r w:rsidR="004C58A1">
        <w:rPr>
          <w:sz w:val="22"/>
          <w:szCs w:val="22"/>
        </w:rPr>
        <w:t xml:space="preserve">  </w:t>
      </w:r>
    </w:p>
    <w:p w:rsidR="0054163F" w:rsidRDefault="0054163F" w:rsidP="002355F6">
      <w:pPr>
        <w:jc w:val="both"/>
        <w:rPr>
          <w:sz w:val="22"/>
          <w:szCs w:val="22"/>
        </w:rPr>
      </w:pPr>
    </w:p>
    <w:p w:rsidR="000B3717" w:rsidRDefault="00D84D92" w:rsidP="002355F6">
      <w:pPr>
        <w:jc w:val="both"/>
        <w:rPr>
          <w:sz w:val="22"/>
          <w:szCs w:val="22"/>
        </w:rPr>
      </w:pPr>
      <w:r>
        <w:rPr>
          <w:sz w:val="22"/>
          <w:szCs w:val="22"/>
        </w:rPr>
        <w:t>Collated i</w:t>
      </w:r>
      <w:r w:rsidR="000B3717">
        <w:rPr>
          <w:sz w:val="22"/>
          <w:szCs w:val="22"/>
        </w:rPr>
        <w:t xml:space="preserve">nformation is presented to provide an overview </w:t>
      </w:r>
      <w:r w:rsidR="00E85E61">
        <w:rPr>
          <w:sz w:val="22"/>
          <w:szCs w:val="22"/>
        </w:rPr>
        <w:t xml:space="preserve">for </w:t>
      </w:r>
      <w:r w:rsidR="0054163F">
        <w:rPr>
          <w:sz w:val="22"/>
          <w:szCs w:val="22"/>
        </w:rPr>
        <w:t>th</w:t>
      </w:r>
      <w:r>
        <w:rPr>
          <w:sz w:val="22"/>
          <w:szCs w:val="22"/>
        </w:rPr>
        <w:t xml:space="preserve">e </w:t>
      </w:r>
      <w:r w:rsidR="00BF003A">
        <w:rPr>
          <w:sz w:val="22"/>
          <w:szCs w:val="22"/>
        </w:rPr>
        <w:t xml:space="preserve">relevant </w:t>
      </w:r>
      <w:r>
        <w:rPr>
          <w:sz w:val="22"/>
          <w:szCs w:val="22"/>
        </w:rPr>
        <w:t>pay gap</w:t>
      </w:r>
      <w:r w:rsidR="000B3717">
        <w:rPr>
          <w:sz w:val="22"/>
          <w:szCs w:val="22"/>
        </w:rPr>
        <w:t xml:space="preserve">.  Where results have indicated a headcount of </w:t>
      </w:r>
      <w:r w:rsidR="007560D0">
        <w:rPr>
          <w:sz w:val="22"/>
          <w:szCs w:val="22"/>
        </w:rPr>
        <w:t xml:space="preserve">less than </w:t>
      </w:r>
      <w:r w:rsidR="000B3717">
        <w:rPr>
          <w:sz w:val="22"/>
          <w:szCs w:val="22"/>
        </w:rPr>
        <w:t>5 employees</w:t>
      </w:r>
      <w:r w:rsidR="00BF003A">
        <w:rPr>
          <w:sz w:val="22"/>
          <w:szCs w:val="22"/>
        </w:rPr>
        <w:t>,</w:t>
      </w:r>
      <w:r w:rsidR="000B3717">
        <w:rPr>
          <w:sz w:val="22"/>
          <w:szCs w:val="22"/>
        </w:rPr>
        <w:t xml:space="preserve"> the average hourly rate of pay has been redacted to ensure confidentiality of the employees involved.</w:t>
      </w:r>
    </w:p>
    <w:p w:rsidR="002355F6" w:rsidRDefault="002355F6" w:rsidP="002355F6">
      <w:pPr>
        <w:jc w:val="both"/>
        <w:rPr>
          <w:sz w:val="22"/>
          <w:szCs w:val="22"/>
        </w:rPr>
      </w:pPr>
    </w:p>
    <w:p w:rsidR="0094353A" w:rsidRPr="00413A5E" w:rsidRDefault="0094353A" w:rsidP="0094353A">
      <w:pPr>
        <w:jc w:val="both"/>
        <w:rPr>
          <w:sz w:val="22"/>
          <w:szCs w:val="22"/>
          <w:u w:val="single"/>
        </w:rPr>
      </w:pPr>
    </w:p>
    <w:p w:rsidR="0094353A" w:rsidRPr="00413A5E" w:rsidRDefault="0094353A" w:rsidP="0094353A">
      <w:pPr>
        <w:jc w:val="both"/>
        <w:rPr>
          <w:sz w:val="22"/>
          <w:szCs w:val="22"/>
          <w:u w:val="single"/>
        </w:rPr>
      </w:pPr>
      <w:r w:rsidRPr="00413A5E">
        <w:rPr>
          <w:sz w:val="22"/>
          <w:szCs w:val="22"/>
          <w:u w:val="single"/>
        </w:rPr>
        <w:t>Result</w:t>
      </w:r>
      <w:r w:rsidR="00F156F2" w:rsidRPr="00413A5E">
        <w:rPr>
          <w:sz w:val="22"/>
          <w:szCs w:val="22"/>
          <w:u w:val="single"/>
        </w:rPr>
        <w:t>s</w:t>
      </w:r>
      <w:r w:rsidRPr="00413A5E">
        <w:rPr>
          <w:sz w:val="22"/>
          <w:szCs w:val="22"/>
          <w:u w:val="single"/>
        </w:rPr>
        <w:t xml:space="preserve"> of the </w:t>
      </w:r>
      <w:r w:rsidR="00B86F77">
        <w:rPr>
          <w:sz w:val="22"/>
          <w:szCs w:val="22"/>
          <w:u w:val="single"/>
        </w:rPr>
        <w:t>202</w:t>
      </w:r>
      <w:r w:rsidR="00DB7F55">
        <w:rPr>
          <w:sz w:val="22"/>
          <w:szCs w:val="22"/>
          <w:u w:val="single"/>
        </w:rPr>
        <w:t>5</w:t>
      </w:r>
      <w:r w:rsidR="006A1820" w:rsidRPr="00413A5E">
        <w:rPr>
          <w:sz w:val="22"/>
          <w:szCs w:val="22"/>
          <w:u w:val="single"/>
        </w:rPr>
        <w:t xml:space="preserve"> </w:t>
      </w:r>
      <w:r w:rsidRPr="00413A5E">
        <w:rPr>
          <w:sz w:val="22"/>
          <w:szCs w:val="22"/>
          <w:u w:val="single"/>
        </w:rPr>
        <w:t>Pay Audit</w:t>
      </w:r>
    </w:p>
    <w:p w:rsidR="002E3B55" w:rsidRDefault="002E3B55" w:rsidP="0094353A">
      <w:pPr>
        <w:jc w:val="both"/>
        <w:rPr>
          <w:sz w:val="22"/>
          <w:szCs w:val="22"/>
        </w:rPr>
      </w:pPr>
    </w:p>
    <w:p w:rsidR="00F156F2" w:rsidRDefault="00F156F2" w:rsidP="0094353A">
      <w:pPr>
        <w:jc w:val="both"/>
        <w:rPr>
          <w:sz w:val="22"/>
          <w:szCs w:val="22"/>
        </w:rPr>
      </w:pPr>
      <w:r w:rsidRPr="00413A5E">
        <w:rPr>
          <w:sz w:val="22"/>
          <w:szCs w:val="22"/>
        </w:rPr>
        <w:t>The results of the</w:t>
      </w:r>
      <w:r w:rsidR="003D634D">
        <w:rPr>
          <w:sz w:val="22"/>
          <w:szCs w:val="22"/>
        </w:rPr>
        <w:t xml:space="preserve"> Equal </w:t>
      </w:r>
      <w:r w:rsidRPr="00413A5E">
        <w:rPr>
          <w:sz w:val="22"/>
          <w:szCs w:val="22"/>
        </w:rPr>
        <w:t xml:space="preserve">Pay Audits are detailed </w:t>
      </w:r>
      <w:r w:rsidR="004B2E36">
        <w:rPr>
          <w:sz w:val="22"/>
          <w:szCs w:val="22"/>
        </w:rPr>
        <w:t xml:space="preserve">in the tables </w:t>
      </w:r>
      <w:r w:rsidRPr="00413A5E">
        <w:rPr>
          <w:sz w:val="22"/>
          <w:szCs w:val="22"/>
        </w:rPr>
        <w:t>below.</w:t>
      </w:r>
      <w:r w:rsidR="001D41AB">
        <w:rPr>
          <w:sz w:val="22"/>
          <w:szCs w:val="22"/>
        </w:rPr>
        <w:t xml:space="preserve"> </w:t>
      </w:r>
    </w:p>
    <w:p w:rsidR="009A2848" w:rsidRDefault="009A2848" w:rsidP="0094353A">
      <w:pPr>
        <w:jc w:val="both"/>
        <w:rPr>
          <w:sz w:val="22"/>
          <w:szCs w:val="22"/>
        </w:rPr>
      </w:pPr>
    </w:p>
    <w:p w:rsidR="009A2848" w:rsidRDefault="009A2848" w:rsidP="0094353A">
      <w:pPr>
        <w:jc w:val="both"/>
        <w:rPr>
          <w:sz w:val="22"/>
          <w:szCs w:val="22"/>
        </w:rPr>
      </w:pPr>
    </w:p>
    <w:p w:rsidR="009A2848" w:rsidRDefault="009A2848" w:rsidP="0094353A">
      <w:pPr>
        <w:jc w:val="both"/>
        <w:rPr>
          <w:sz w:val="22"/>
          <w:szCs w:val="22"/>
        </w:rPr>
      </w:pPr>
      <w:r>
        <w:rPr>
          <w:noProof/>
          <w:sz w:val="22"/>
          <w:szCs w:val="22"/>
          <w:lang w:eastAsia="en-GB"/>
        </w:rPr>
        <w:drawing>
          <wp:inline distT="0" distB="0" distL="0" distR="0">
            <wp:extent cx="5731510" cy="1514242"/>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31510" cy="1514242"/>
                    </a:xfrm>
                    <a:prstGeom prst="rect">
                      <a:avLst/>
                    </a:prstGeom>
                    <a:noFill/>
                    <a:ln w="9525">
                      <a:noFill/>
                      <a:miter lim="800000"/>
                      <a:headEnd/>
                      <a:tailEnd/>
                    </a:ln>
                  </pic:spPr>
                </pic:pic>
              </a:graphicData>
            </a:graphic>
          </wp:inline>
        </w:drawing>
      </w:r>
    </w:p>
    <w:p w:rsidR="009A2848" w:rsidRDefault="009A2848" w:rsidP="0094353A">
      <w:pPr>
        <w:jc w:val="both"/>
        <w:rPr>
          <w:sz w:val="22"/>
          <w:szCs w:val="22"/>
        </w:rPr>
      </w:pPr>
    </w:p>
    <w:p w:rsidR="009A2848" w:rsidRDefault="009A2848" w:rsidP="0094353A">
      <w:pPr>
        <w:jc w:val="both"/>
        <w:rPr>
          <w:sz w:val="22"/>
          <w:szCs w:val="22"/>
        </w:rPr>
      </w:pPr>
    </w:p>
    <w:p w:rsidR="00191703" w:rsidRDefault="00DB7F55" w:rsidP="0094353A">
      <w:pPr>
        <w:jc w:val="both"/>
        <w:rPr>
          <w:sz w:val="22"/>
          <w:szCs w:val="22"/>
        </w:rPr>
      </w:pPr>
      <w:r>
        <w:rPr>
          <w:noProof/>
          <w:sz w:val="22"/>
          <w:szCs w:val="22"/>
          <w:lang w:eastAsia="en-GB"/>
        </w:rPr>
        <w:drawing>
          <wp:inline distT="0" distB="0" distL="0" distR="0">
            <wp:extent cx="5731510" cy="1541649"/>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1541649"/>
                    </a:xfrm>
                    <a:prstGeom prst="rect">
                      <a:avLst/>
                    </a:prstGeom>
                    <a:noFill/>
                    <a:ln w="9525">
                      <a:noFill/>
                      <a:miter lim="800000"/>
                      <a:headEnd/>
                      <a:tailEnd/>
                    </a:ln>
                  </pic:spPr>
                </pic:pic>
              </a:graphicData>
            </a:graphic>
          </wp:inline>
        </w:drawing>
      </w:r>
    </w:p>
    <w:p w:rsidR="00DB7F55" w:rsidRDefault="00DB7F55" w:rsidP="0094353A">
      <w:pPr>
        <w:jc w:val="both"/>
        <w:rPr>
          <w:sz w:val="22"/>
          <w:szCs w:val="22"/>
        </w:rPr>
      </w:pPr>
    </w:p>
    <w:p w:rsidR="00DB7F55" w:rsidRDefault="00DB7F55" w:rsidP="0094353A">
      <w:pPr>
        <w:jc w:val="both"/>
        <w:rPr>
          <w:sz w:val="22"/>
          <w:szCs w:val="22"/>
        </w:rPr>
      </w:pPr>
    </w:p>
    <w:p w:rsidR="00DB7F55" w:rsidRDefault="009A2848" w:rsidP="0094353A">
      <w:pPr>
        <w:jc w:val="both"/>
        <w:rPr>
          <w:sz w:val="22"/>
          <w:szCs w:val="22"/>
        </w:rPr>
      </w:pPr>
      <w:r>
        <w:rPr>
          <w:noProof/>
          <w:sz w:val="22"/>
          <w:szCs w:val="22"/>
          <w:lang w:eastAsia="en-GB"/>
        </w:rPr>
        <w:drawing>
          <wp:inline distT="0" distB="0" distL="0" distR="0">
            <wp:extent cx="5731510" cy="153717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31510" cy="1537170"/>
                    </a:xfrm>
                    <a:prstGeom prst="rect">
                      <a:avLst/>
                    </a:prstGeom>
                    <a:noFill/>
                    <a:ln w="9525">
                      <a:noFill/>
                      <a:miter lim="800000"/>
                      <a:headEnd/>
                      <a:tailEnd/>
                    </a:ln>
                  </pic:spPr>
                </pic:pic>
              </a:graphicData>
            </a:graphic>
          </wp:inline>
        </w:drawing>
      </w:r>
    </w:p>
    <w:p w:rsidR="00DB7F55" w:rsidRDefault="00DB7F55" w:rsidP="0094353A">
      <w:pPr>
        <w:jc w:val="both"/>
        <w:rPr>
          <w:sz w:val="22"/>
          <w:szCs w:val="22"/>
        </w:rPr>
      </w:pPr>
    </w:p>
    <w:p w:rsidR="00DB7F55" w:rsidRDefault="00DB7F55" w:rsidP="0094353A">
      <w:pPr>
        <w:jc w:val="both"/>
        <w:rPr>
          <w:sz w:val="22"/>
          <w:szCs w:val="22"/>
        </w:rPr>
      </w:pPr>
    </w:p>
    <w:p w:rsidR="00DB7F55" w:rsidRDefault="00DB7F55" w:rsidP="0094353A">
      <w:pPr>
        <w:jc w:val="both"/>
        <w:rPr>
          <w:sz w:val="22"/>
          <w:szCs w:val="22"/>
        </w:rPr>
      </w:pPr>
    </w:p>
    <w:p w:rsidR="00BF003A" w:rsidRDefault="00BF003A" w:rsidP="0094353A">
      <w:pPr>
        <w:jc w:val="both"/>
        <w:rPr>
          <w:sz w:val="22"/>
          <w:szCs w:val="22"/>
        </w:rPr>
      </w:pPr>
    </w:p>
    <w:p w:rsidR="00BF003A" w:rsidRDefault="00BF003A" w:rsidP="0094353A">
      <w:pPr>
        <w:jc w:val="both"/>
        <w:rPr>
          <w:sz w:val="22"/>
          <w:szCs w:val="22"/>
        </w:rPr>
      </w:pPr>
    </w:p>
    <w:p w:rsidR="003A5A55" w:rsidRDefault="003A5A55" w:rsidP="003A5A55">
      <w:pPr>
        <w:jc w:val="both"/>
        <w:rPr>
          <w:sz w:val="22"/>
          <w:szCs w:val="22"/>
          <w:u w:val="single"/>
        </w:rPr>
      </w:pPr>
      <w:r w:rsidRPr="0072023C">
        <w:rPr>
          <w:sz w:val="22"/>
          <w:szCs w:val="22"/>
          <w:u w:val="single"/>
        </w:rPr>
        <w:lastRenderedPageBreak/>
        <w:t>Occupational Segregation Indicators</w:t>
      </w:r>
      <w:r w:rsidR="001D41AB">
        <w:rPr>
          <w:sz w:val="22"/>
          <w:szCs w:val="22"/>
          <w:u w:val="single"/>
        </w:rPr>
        <w:t xml:space="preserve"> and Closing the Pay Gap</w:t>
      </w:r>
    </w:p>
    <w:p w:rsidR="003A5A55" w:rsidRPr="003A5A55" w:rsidRDefault="003A5A55" w:rsidP="003A5A55">
      <w:pPr>
        <w:jc w:val="both"/>
        <w:rPr>
          <w:sz w:val="22"/>
          <w:szCs w:val="22"/>
          <w:u w:val="single"/>
        </w:rPr>
      </w:pPr>
    </w:p>
    <w:p w:rsidR="000F2632" w:rsidRDefault="000F2632" w:rsidP="003A5A55">
      <w:pPr>
        <w:spacing w:after="200" w:line="276" w:lineRule="auto"/>
        <w:jc w:val="center"/>
        <w:rPr>
          <w:sz w:val="22"/>
          <w:szCs w:val="22"/>
        </w:rPr>
      </w:pPr>
      <w:r>
        <w:rPr>
          <w:sz w:val="22"/>
          <w:szCs w:val="22"/>
        </w:rPr>
        <w:t>Disability</w:t>
      </w:r>
    </w:p>
    <w:p w:rsidR="0045048D" w:rsidRDefault="0045048D" w:rsidP="00BF003A">
      <w:pPr>
        <w:numPr>
          <w:ilvl w:val="0"/>
          <w:numId w:val="2"/>
        </w:numPr>
        <w:ind w:left="714" w:hanging="357"/>
        <w:jc w:val="both"/>
        <w:rPr>
          <w:sz w:val="22"/>
          <w:szCs w:val="22"/>
        </w:rPr>
      </w:pPr>
      <w:r>
        <w:rPr>
          <w:sz w:val="22"/>
          <w:szCs w:val="22"/>
        </w:rPr>
        <w:t>7.0% of all those who provided a positive response to this Protected Characteristic identified themselves as disabled</w:t>
      </w:r>
      <w:r w:rsidR="00A04844">
        <w:rPr>
          <w:sz w:val="22"/>
          <w:szCs w:val="22"/>
        </w:rPr>
        <w:t xml:space="preserve"> (4.7% in 2023), with the </w:t>
      </w:r>
      <w:r>
        <w:rPr>
          <w:sz w:val="22"/>
          <w:szCs w:val="22"/>
        </w:rPr>
        <w:t xml:space="preserve">percentage of staff identifying themselves as disabled </w:t>
      </w:r>
      <w:r w:rsidR="00CA1123">
        <w:rPr>
          <w:sz w:val="22"/>
          <w:szCs w:val="22"/>
        </w:rPr>
        <w:t xml:space="preserve">when </w:t>
      </w:r>
      <w:r w:rsidR="00A04844">
        <w:rPr>
          <w:sz w:val="22"/>
          <w:szCs w:val="22"/>
        </w:rPr>
        <w:t xml:space="preserve">measured against the wider </w:t>
      </w:r>
      <w:r w:rsidR="003A04D5">
        <w:rPr>
          <w:sz w:val="22"/>
          <w:szCs w:val="22"/>
        </w:rPr>
        <w:t>NHS Fife workforce</w:t>
      </w:r>
      <w:r w:rsidR="002E3B55">
        <w:rPr>
          <w:sz w:val="22"/>
          <w:szCs w:val="22"/>
        </w:rPr>
        <w:t>,</w:t>
      </w:r>
      <w:r w:rsidR="003A04D5">
        <w:rPr>
          <w:sz w:val="22"/>
          <w:szCs w:val="22"/>
        </w:rPr>
        <w:t xml:space="preserve"> increasing to </w:t>
      </w:r>
      <w:r>
        <w:rPr>
          <w:sz w:val="22"/>
          <w:szCs w:val="22"/>
        </w:rPr>
        <w:t>3.3%</w:t>
      </w:r>
      <w:r w:rsidR="00A04844">
        <w:rPr>
          <w:sz w:val="22"/>
          <w:szCs w:val="22"/>
        </w:rPr>
        <w:t xml:space="preserve"> (2.5% in 2023)</w:t>
      </w:r>
      <w:r>
        <w:rPr>
          <w:sz w:val="22"/>
          <w:szCs w:val="22"/>
        </w:rPr>
        <w:t>.</w:t>
      </w:r>
      <w:r w:rsidR="00A04844">
        <w:rPr>
          <w:sz w:val="22"/>
          <w:szCs w:val="22"/>
        </w:rPr>
        <w:t xml:space="preserve">  There </w:t>
      </w:r>
      <w:r w:rsidR="002E3B55">
        <w:rPr>
          <w:sz w:val="22"/>
          <w:szCs w:val="22"/>
        </w:rPr>
        <w:t>are</w:t>
      </w:r>
      <w:r w:rsidR="00BF003A">
        <w:rPr>
          <w:sz w:val="22"/>
          <w:szCs w:val="22"/>
        </w:rPr>
        <w:t xml:space="preserve"> </w:t>
      </w:r>
      <w:r w:rsidR="00A04844">
        <w:rPr>
          <w:sz w:val="22"/>
          <w:szCs w:val="22"/>
        </w:rPr>
        <w:t xml:space="preserve">a variety of factors contributing to this increase, ranging from targeted recruitment campaigns, improved data capture and applicants being more confident in disclosing this information.  </w:t>
      </w:r>
    </w:p>
    <w:p w:rsidR="00BF003A" w:rsidRDefault="00BF003A" w:rsidP="00BF003A">
      <w:pPr>
        <w:ind w:left="357"/>
        <w:jc w:val="both"/>
        <w:rPr>
          <w:sz w:val="22"/>
          <w:szCs w:val="22"/>
        </w:rPr>
      </w:pPr>
    </w:p>
    <w:p w:rsidR="00383D9B" w:rsidRDefault="00A04844" w:rsidP="00BF003A">
      <w:pPr>
        <w:numPr>
          <w:ilvl w:val="0"/>
          <w:numId w:val="2"/>
        </w:numPr>
        <w:ind w:left="714" w:hanging="357"/>
        <w:jc w:val="both"/>
        <w:rPr>
          <w:sz w:val="22"/>
          <w:szCs w:val="22"/>
        </w:rPr>
      </w:pPr>
      <w:r>
        <w:rPr>
          <w:sz w:val="22"/>
          <w:szCs w:val="22"/>
        </w:rPr>
        <w:t>Despite improved data capture on those who identify themselves as disabled, the Pay Gap between those identifying themselves as disabled versus those who do not</w:t>
      </w:r>
      <w:r w:rsidR="003A04D5">
        <w:rPr>
          <w:sz w:val="22"/>
          <w:szCs w:val="22"/>
        </w:rPr>
        <w:t xml:space="preserve"> is </w:t>
      </w:r>
      <w:r w:rsidR="00383D9B">
        <w:rPr>
          <w:sz w:val="22"/>
          <w:szCs w:val="22"/>
        </w:rPr>
        <w:t>-9.4</w:t>
      </w:r>
      <w:r>
        <w:rPr>
          <w:sz w:val="22"/>
          <w:szCs w:val="22"/>
        </w:rPr>
        <w:t>%</w:t>
      </w:r>
      <w:r w:rsidR="00383D9B">
        <w:rPr>
          <w:sz w:val="22"/>
          <w:szCs w:val="22"/>
        </w:rPr>
        <w:t xml:space="preserve">.  This pay </w:t>
      </w:r>
      <w:r>
        <w:rPr>
          <w:sz w:val="22"/>
          <w:szCs w:val="22"/>
        </w:rPr>
        <w:t xml:space="preserve">gap </w:t>
      </w:r>
      <w:r w:rsidR="00383D9B">
        <w:rPr>
          <w:sz w:val="22"/>
          <w:szCs w:val="22"/>
        </w:rPr>
        <w:t xml:space="preserve">has steadily </w:t>
      </w:r>
      <w:r>
        <w:rPr>
          <w:sz w:val="22"/>
          <w:szCs w:val="22"/>
        </w:rPr>
        <w:t>increasing</w:t>
      </w:r>
      <w:r w:rsidR="00383D9B">
        <w:rPr>
          <w:sz w:val="22"/>
          <w:szCs w:val="22"/>
        </w:rPr>
        <w:t xml:space="preserve"> since the requirement to measure th</w:t>
      </w:r>
      <w:r w:rsidR="003A04D5">
        <w:rPr>
          <w:sz w:val="22"/>
          <w:szCs w:val="22"/>
        </w:rPr>
        <w:t xml:space="preserve">e </w:t>
      </w:r>
      <w:r w:rsidR="00383D9B">
        <w:rPr>
          <w:sz w:val="22"/>
          <w:szCs w:val="22"/>
        </w:rPr>
        <w:t xml:space="preserve">disability pay gap </w:t>
      </w:r>
      <w:r w:rsidR="003A04D5">
        <w:rPr>
          <w:sz w:val="22"/>
          <w:szCs w:val="22"/>
        </w:rPr>
        <w:t xml:space="preserve">started </w:t>
      </w:r>
      <w:r w:rsidR="00383D9B">
        <w:rPr>
          <w:sz w:val="22"/>
          <w:szCs w:val="22"/>
        </w:rPr>
        <w:t>in 2017 (0.</w:t>
      </w:r>
      <w:r w:rsidR="00BF4785">
        <w:rPr>
          <w:sz w:val="22"/>
          <w:szCs w:val="22"/>
        </w:rPr>
        <w:t>8</w:t>
      </w:r>
      <w:r w:rsidR="00383D9B">
        <w:rPr>
          <w:sz w:val="22"/>
          <w:szCs w:val="22"/>
        </w:rPr>
        <w:t>% in 2017).</w:t>
      </w:r>
      <w:r>
        <w:rPr>
          <w:sz w:val="22"/>
          <w:szCs w:val="22"/>
        </w:rPr>
        <w:t xml:space="preserve"> </w:t>
      </w:r>
    </w:p>
    <w:p w:rsidR="00BF003A" w:rsidRDefault="00BF003A" w:rsidP="00BF003A">
      <w:pPr>
        <w:pStyle w:val="ListParagraph"/>
        <w:rPr>
          <w:sz w:val="22"/>
          <w:szCs w:val="22"/>
        </w:rPr>
      </w:pPr>
    </w:p>
    <w:tbl>
      <w:tblPr>
        <w:tblStyle w:val="TableGrid"/>
        <w:tblW w:w="0" w:type="auto"/>
        <w:tblInd w:w="817" w:type="dxa"/>
        <w:tblLook w:val="04A0"/>
      </w:tblPr>
      <w:tblGrid>
        <w:gridCol w:w="1559"/>
        <w:gridCol w:w="993"/>
        <w:gridCol w:w="992"/>
        <w:gridCol w:w="992"/>
        <w:gridCol w:w="992"/>
        <w:gridCol w:w="993"/>
        <w:gridCol w:w="992"/>
        <w:gridCol w:w="912"/>
      </w:tblGrid>
      <w:tr w:rsidR="00BF4785" w:rsidTr="00BF4785">
        <w:tc>
          <w:tcPr>
            <w:tcW w:w="1559" w:type="dxa"/>
            <w:tcBorders>
              <w:top w:val="nil"/>
              <w:left w:val="nil"/>
            </w:tcBorders>
          </w:tcPr>
          <w:p w:rsidR="00CA1123" w:rsidRPr="00823654" w:rsidRDefault="00CA1123" w:rsidP="00CA1123">
            <w:pPr>
              <w:spacing w:after="200" w:line="276" w:lineRule="auto"/>
              <w:jc w:val="both"/>
              <w:rPr>
                <w:rFonts w:asciiTheme="minorHAnsi" w:hAnsiTheme="minorHAnsi" w:cstheme="minorHAnsi"/>
                <w:sz w:val="18"/>
                <w:szCs w:val="18"/>
              </w:rPr>
            </w:pPr>
          </w:p>
        </w:tc>
        <w:tc>
          <w:tcPr>
            <w:tcW w:w="993" w:type="dxa"/>
            <w:shd w:val="clear" w:color="auto" w:fill="DBE5F1" w:themeFill="accent1" w:themeFillTint="33"/>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2013</w:t>
            </w:r>
          </w:p>
        </w:tc>
        <w:tc>
          <w:tcPr>
            <w:tcW w:w="992" w:type="dxa"/>
            <w:shd w:val="clear" w:color="auto" w:fill="DBE5F1" w:themeFill="accent1" w:themeFillTint="33"/>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2015</w:t>
            </w:r>
          </w:p>
        </w:tc>
        <w:tc>
          <w:tcPr>
            <w:tcW w:w="992" w:type="dxa"/>
            <w:shd w:val="clear" w:color="auto" w:fill="DBE5F1" w:themeFill="accent1" w:themeFillTint="33"/>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2017</w:t>
            </w:r>
          </w:p>
        </w:tc>
        <w:tc>
          <w:tcPr>
            <w:tcW w:w="992" w:type="dxa"/>
            <w:shd w:val="clear" w:color="auto" w:fill="DBE5F1" w:themeFill="accent1" w:themeFillTint="33"/>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2019</w:t>
            </w:r>
          </w:p>
        </w:tc>
        <w:tc>
          <w:tcPr>
            <w:tcW w:w="993" w:type="dxa"/>
            <w:shd w:val="clear" w:color="auto" w:fill="DBE5F1" w:themeFill="accent1" w:themeFillTint="33"/>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2021</w:t>
            </w:r>
          </w:p>
        </w:tc>
        <w:tc>
          <w:tcPr>
            <w:tcW w:w="992" w:type="dxa"/>
            <w:shd w:val="clear" w:color="auto" w:fill="DBE5F1" w:themeFill="accent1" w:themeFillTint="33"/>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2023</w:t>
            </w:r>
          </w:p>
        </w:tc>
        <w:tc>
          <w:tcPr>
            <w:tcW w:w="912" w:type="dxa"/>
            <w:shd w:val="clear" w:color="auto" w:fill="DBE5F1" w:themeFill="accent1" w:themeFillTint="33"/>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2025</w:t>
            </w:r>
          </w:p>
        </w:tc>
      </w:tr>
      <w:tr w:rsidR="00CA1123" w:rsidTr="00CA1123">
        <w:tc>
          <w:tcPr>
            <w:tcW w:w="1559"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Disability Pay Gap</w:t>
            </w:r>
          </w:p>
        </w:tc>
        <w:tc>
          <w:tcPr>
            <w:tcW w:w="993" w:type="dxa"/>
          </w:tcPr>
          <w:p w:rsidR="00CA1123" w:rsidRPr="00823654" w:rsidRDefault="00CA1123" w:rsidP="00CA1123">
            <w:pPr>
              <w:spacing w:after="200" w:line="276" w:lineRule="auto"/>
              <w:jc w:val="center"/>
              <w:rPr>
                <w:rFonts w:asciiTheme="minorHAnsi" w:hAnsiTheme="minorHAnsi" w:cstheme="minorHAnsi"/>
                <w:sz w:val="18"/>
                <w:szCs w:val="18"/>
              </w:rPr>
            </w:pPr>
            <w:r w:rsidRPr="00823654">
              <w:rPr>
                <w:rFonts w:asciiTheme="minorHAnsi" w:hAnsiTheme="minorHAnsi" w:cstheme="minorHAnsi"/>
                <w:sz w:val="18"/>
                <w:szCs w:val="18"/>
              </w:rPr>
              <w:t>-</w:t>
            </w:r>
          </w:p>
        </w:tc>
        <w:tc>
          <w:tcPr>
            <w:tcW w:w="992" w:type="dxa"/>
          </w:tcPr>
          <w:p w:rsidR="00CA1123" w:rsidRPr="00823654" w:rsidRDefault="00CA1123" w:rsidP="00CA1123">
            <w:pPr>
              <w:spacing w:after="200" w:line="276" w:lineRule="auto"/>
              <w:jc w:val="center"/>
              <w:rPr>
                <w:rFonts w:asciiTheme="minorHAnsi" w:hAnsiTheme="minorHAnsi" w:cstheme="minorHAnsi"/>
                <w:sz w:val="18"/>
                <w:szCs w:val="18"/>
              </w:rPr>
            </w:pPr>
            <w:r w:rsidRPr="00823654">
              <w:rPr>
                <w:rFonts w:asciiTheme="minorHAnsi" w:hAnsiTheme="minorHAnsi" w:cstheme="minorHAnsi"/>
                <w:sz w:val="18"/>
                <w:szCs w:val="18"/>
              </w:rPr>
              <w:t>-</w:t>
            </w:r>
          </w:p>
        </w:tc>
        <w:tc>
          <w:tcPr>
            <w:tcW w:w="992"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-0.8%</w:t>
            </w:r>
          </w:p>
        </w:tc>
        <w:tc>
          <w:tcPr>
            <w:tcW w:w="992"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-4.9%</w:t>
            </w:r>
          </w:p>
        </w:tc>
        <w:tc>
          <w:tcPr>
            <w:tcW w:w="993"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-4.4%</w:t>
            </w:r>
          </w:p>
        </w:tc>
        <w:tc>
          <w:tcPr>
            <w:tcW w:w="992"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-7.8%</w:t>
            </w:r>
          </w:p>
        </w:tc>
        <w:tc>
          <w:tcPr>
            <w:tcW w:w="912"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-9.4%</w:t>
            </w:r>
          </w:p>
        </w:tc>
      </w:tr>
      <w:tr w:rsidR="00CA1123" w:rsidTr="00CA1123">
        <w:tc>
          <w:tcPr>
            <w:tcW w:w="1559"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Staff Identifying within PC</w:t>
            </w:r>
          </w:p>
        </w:tc>
        <w:tc>
          <w:tcPr>
            <w:tcW w:w="993" w:type="dxa"/>
          </w:tcPr>
          <w:p w:rsidR="00CA1123" w:rsidRPr="00823654" w:rsidRDefault="00CA1123" w:rsidP="00CA1123">
            <w:pPr>
              <w:spacing w:after="200" w:line="276" w:lineRule="auto"/>
              <w:jc w:val="both"/>
              <w:rPr>
                <w:rFonts w:asciiTheme="minorHAnsi" w:hAnsiTheme="minorHAnsi" w:cstheme="minorHAnsi"/>
                <w:sz w:val="18"/>
                <w:szCs w:val="18"/>
              </w:rPr>
            </w:pPr>
          </w:p>
        </w:tc>
        <w:tc>
          <w:tcPr>
            <w:tcW w:w="992" w:type="dxa"/>
          </w:tcPr>
          <w:p w:rsidR="00CA1123" w:rsidRPr="00823654" w:rsidRDefault="00CA1123" w:rsidP="00CA1123">
            <w:pPr>
              <w:spacing w:after="200" w:line="276" w:lineRule="auto"/>
              <w:jc w:val="both"/>
              <w:rPr>
                <w:rFonts w:asciiTheme="minorHAnsi" w:hAnsiTheme="minorHAnsi" w:cstheme="minorHAnsi"/>
                <w:sz w:val="18"/>
                <w:szCs w:val="18"/>
              </w:rPr>
            </w:pPr>
          </w:p>
        </w:tc>
        <w:tc>
          <w:tcPr>
            <w:tcW w:w="992" w:type="dxa"/>
          </w:tcPr>
          <w:p w:rsidR="00CA1123" w:rsidRPr="00823654" w:rsidRDefault="00BF4785"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80</w:t>
            </w:r>
          </w:p>
        </w:tc>
        <w:tc>
          <w:tcPr>
            <w:tcW w:w="992"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127</w:t>
            </w:r>
          </w:p>
        </w:tc>
        <w:tc>
          <w:tcPr>
            <w:tcW w:w="993"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131</w:t>
            </w:r>
          </w:p>
        </w:tc>
        <w:tc>
          <w:tcPr>
            <w:tcW w:w="992"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240</w:t>
            </w:r>
          </w:p>
        </w:tc>
        <w:tc>
          <w:tcPr>
            <w:tcW w:w="912" w:type="dxa"/>
          </w:tcPr>
          <w:p w:rsidR="00CA1123" w:rsidRPr="00823654" w:rsidRDefault="00CA1123" w:rsidP="00CA1123">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327</w:t>
            </w:r>
          </w:p>
        </w:tc>
      </w:tr>
    </w:tbl>
    <w:p w:rsidR="00CA1123" w:rsidRDefault="00CA1123" w:rsidP="00CA1123">
      <w:pPr>
        <w:spacing w:after="200" w:line="276" w:lineRule="auto"/>
        <w:jc w:val="both"/>
        <w:rPr>
          <w:sz w:val="22"/>
          <w:szCs w:val="22"/>
        </w:rPr>
      </w:pPr>
    </w:p>
    <w:p w:rsidR="00E04E46" w:rsidRDefault="00383D9B" w:rsidP="00BF003A">
      <w:pPr>
        <w:numPr>
          <w:ilvl w:val="0"/>
          <w:numId w:val="2"/>
        </w:numPr>
        <w:ind w:left="714" w:hanging="357"/>
        <w:jc w:val="both"/>
        <w:rPr>
          <w:sz w:val="22"/>
          <w:szCs w:val="22"/>
        </w:rPr>
      </w:pPr>
      <w:r>
        <w:rPr>
          <w:sz w:val="22"/>
          <w:szCs w:val="22"/>
        </w:rPr>
        <w:t xml:space="preserve">The percentage of our workforce who have not provided a positive response to this Protected Characteristic has reduced by -5.7% in the previous 2 years.  This decrease is believed to be associated with new applicants not recording instances where they do not identify themselves as disabled during the recruitment and on-boarding process.  There is concern that these contrasting trends </w:t>
      </w:r>
      <w:r w:rsidR="00D84D92">
        <w:rPr>
          <w:sz w:val="22"/>
          <w:szCs w:val="22"/>
        </w:rPr>
        <w:t xml:space="preserve">have resulted in </w:t>
      </w:r>
      <w:r>
        <w:rPr>
          <w:sz w:val="22"/>
          <w:szCs w:val="22"/>
        </w:rPr>
        <w:t xml:space="preserve">distorting the </w:t>
      </w:r>
      <w:r w:rsidR="00D84D92">
        <w:rPr>
          <w:sz w:val="22"/>
          <w:szCs w:val="22"/>
        </w:rPr>
        <w:t xml:space="preserve">average basic hourly rates used as part of the </w:t>
      </w:r>
      <w:r>
        <w:rPr>
          <w:sz w:val="22"/>
          <w:szCs w:val="22"/>
        </w:rPr>
        <w:t>Equal Pay Audit calculations.</w:t>
      </w:r>
    </w:p>
    <w:p w:rsidR="00BF003A" w:rsidRDefault="00BF003A" w:rsidP="00BF003A">
      <w:pPr>
        <w:ind w:left="357"/>
        <w:jc w:val="both"/>
        <w:rPr>
          <w:sz w:val="22"/>
          <w:szCs w:val="22"/>
        </w:rPr>
      </w:pPr>
    </w:p>
    <w:p w:rsidR="003A04D5" w:rsidRDefault="003A04D5" w:rsidP="00BF003A">
      <w:pPr>
        <w:numPr>
          <w:ilvl w:val="0"/>
          <w:numId w:val="2"/>
        </w:numPr>
        <w:ind w:left="714" w:hanging="357"/>
        <w:jc w:val="both"/>
        <w:rPr>
          <w:sz w:val="22"/>
          <w:szCs w:val="22"/>
        </w:rPr>
      </w:pPr>
      <w:r>
        <w:rPr>
          <w:sz w:val="22"/>
          <w:szCs w:val="22"/>
        </w:rPr>
        <w:t>The</w:t>
      </w:r>
      <w:r w:rsidR="00BF003A">
        <w:rPr>
          <w:sz w:val="22"/>
          <w:szCs w:val="22"/>
        </w:rPr>
        <w:t xml:space="preserve"> Recruitment and on-boarding </w:t>
      </w:r>
      <w:r>
        <w:rPr>
          <w:sz w:val="22"/>
          <w:szCs w:val="22"/>
        </w:rPr>
        <w:t xml:space="preserve">processes will be reviewed as part of a wider project focused on capturing and utilising information collated during the recruitment process more efficiently.  </w:t>
      </w:r>
    </w:p>
    <w:p w:rsidR="00BF003A" w:rsidRDefault="00BF003A" w:rsidP="00BF003A">
      <w:pPr>
        <w:pStyle w:val="ListParagraph"/>
        <w:rPr>
          <w:sz w:val="22"/>
          <w:szCs w:val="22"/>
        </w:rPr>
      </w:pPr>
    </w:p>
    <w:p w:rsidR="008B780C" w:rsidRDefault="00D636DB" w:rsidP="00BF003A">
      <w:pPr>
        <w:numPr>
          <w:ilvl w:val="0"/>
          <w:numId w:val="2"/>
        </w:numPr>
        <w:ind w:left="714" w:hanging="357"/>
        <w:jc w:val="both"/>
        <w:rPr>
          <w:sz w:val="22"/>
          <w:szCs w:val="22"/>
        </w:rPr>
      </w:pPr>
      <w:r>
        <w:rPr>
          <w:sz w:val="22"/>
          <w:szCs w:val="22"/>
        </w:rPr>
        <w:t xml:space="preserve">Focusing on those </w:t>
      </w:r>
      <w:r w:rsidR="000929CD">
        <w:rPr>
          <w:sz w:val="22"/>
          <w:szCs w:val="22"/>
        </w:rPr>
        <w:t xml:space="preserve">employees </w:t>
      </w:r>
      <w:r>
        <w:rPr>
          <w:sz w:val="22"/>
          <w:szCs w:val="22"/>
        </w:rPr>
        <w:t>who have answered “Yes” and identified themselves as disabled, 7</w:t>
      </w:r>
      <w:r w:rsidR="008B45E2">
        <w:rPr>
          <w:sz w:val="22"/>
          <w:szCs w:val="22"/>
        </w:rPr>
        <w:t xml:space="preserve">1.4% of people who identify themselves as disabled work in </w:t>
      </w:r>
      <w:r w:rsidR="000929CD">
        <w:rPr>
          <w:sz w:val="22"/>
          <w:szCs w:val="22"/>
        </w:rPr>
        <w:t>j</w:t>
      </w:r>
      <w:r w:rsidR="008B45E2">
        <w:rPr>
          <w:sz w:val="22"/>
          <w:szCs w:val="22"/>
        </w:rPr>
        <w:t xml:space="preserve">ob </w:t>
      </w:r>
      <w:r w:rsidR="000929CD">
        <w:rPr>
          <w:sz w:val="22"/>
          <w:szCs w:val="22"/>
        </w:rPr>
        <w:t>f</w:t>
      </w:r>
      <w:r w:rsidR="008B45E2">
        <w:rPr>
          <w:sz w:val="22"/>
          <w:szCs w:val="22"/>
        </w:rPr>
        <w:t>amilies associated with clinical activities versus 73.7% of people who did not.  As s</w:t>
      </w:r>
      <w:r>
        <w:rPr>
          <w:sz w:val="22"/>
          <w:szCs w:val="22"/>
        </w:rPr>
        <w:t xml:space="preserve">hown in the chart below, there </w:t>
      </w:r>
      <w:r w:rsidR="00BF003A">
        <w:rPr>
          <w:sz w:val="22"/>
          <w:szCs w:val="22"/>
        </w:rPr>
        <w:t xml:space="preserve">are </w:t>
      </w:r>
      <w:r w:rsidR="008B780C" w:rsidRPr="005C18AC">
        <w:rPr>
          <w:sz w:val="22"/>
          <w:szCs w:val="22"/>
        </w:rPr>
        <w:t xml:space="preserve">small variations </w:t>
      </w:r>
      <w:r w:rsidR="00B0559F" w:rsidRPr="005C18AC">
        <w:rPr>
          <w:sz w:val="22"/>
          <w:szCs w:val="22"/>
        </w:rPr>
        <w:t xml:space="preserve">in the distribution of </w:t>
      </w:r>
      <w:r w:rsidR="000929CD">
        <w:rPr>
          <w:sz w:val="22"/>
          <w:szCs w:val="22"/>
        </w:rPr>
        <w:t xml:space="preserve">employees </w:t>
      </w:r>
      <w:r w:rsidR="00B0559F" w:rsidRPr="005C18AC">
        <w:rPr>
          <w:sz w:val="22"/>
          <w:szCs w:val="22"/>
        </w:rPr>
        <w:t xml:space="preserve">across </w:t>
      </w:r>
      <w:r w:rsidR="008B780C" w:rsidRPr="005C18AC">
        <w:rPr>
          <w:sz w:val="22"/>
          <w:szCs w:val="22"/>
        </w:rPr>
        <w:t>individual job families</w:t>
      </w:r>
      <w:r w:rsidR="008B45E2">
        <w:rPr>
          <w:sz w:val="22"/>
          <w:szCs w:val="22"/>
        </w:rPr>
        <w:t xml:space="preserve"> when measured against an average of 7.0%.  </w:t>
      </w:r>
    </w:p>
    <w:p w:rsidR="00BF003A" w:rsidRDefault="00BF003A" w:rsidP="00BF003A">
      <w:pPr>
        <w:pStyle w:val="ListParagraph"/>
        <w:rPr>
          <w:sz w:val="22"/>
          <w:szCs w:val="22"/>
        </w:rPr>
      </w:pPr>
    </w:p>
    <w:p w:rsidR="008B45E2" w:rsidRPr="005C18AC" w:rsidRDefault="008B45E2" w:rsidP="008B45E2">
      <w:pPr>
        <w:spacing w:after="200" w:line="276" w:lineRule="auto"/>
        <w:jc w:val="right"/>
        <w:rPr>
          <w:sz w:val="22"/>
          <w:szCs w:val="22"/>
        </w:rPr>
      </w:pPr>
      <w:r>
        <w:rPr>
          <w:noProof/>
          <w:sz w:val="22"/>
          <w:szCs w:val="22"/>
          <w:lang w:eastAsia="en-GB"/>
        </w:rPr>
        <w:drawing>
          <wp:inline distT="0" distB="0" distL="0" distR="0">
            <wp:extent cx="5295900" cy="199992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93568" cy="1999047"/>
                    </a:xfrm>
                    <a:prstGeom prst="rect">
                      <a:avLst/>
                    </a:prstGeom>
                    <a:noFill/>
                    <a:ln w="9525">
                      <a:noFill/>
                      <a:miter lim="800000"/>
                      <a:headEnd/>
                      <a:tailEnd/>
                    </a:ln>
                  </pic:spPr>
                </pic:pic>
              </a:graphicData>
            </a:graphic>
          </wp:inline>
        </w:drawing>
      </w:r>
    </w:p>
    <w:p w:rsidR="003F2646" w:rsidRDefault="005C18AC" w:rsidP="00BF003A">
      <w:pPr>
        <w:numPr>
          <w:ilvl w:val="0"/>
          <w:numId w:val="2"/>
        </w:numPr>
        <w:ind w:left="714" w:hanging="357"/>
        <w:jc w:val="both"/>
        <w:rPr>
          <w:sz w:val="22"/>
          <w:szCs w:val="22"/>
        </w:rPr>
      </w:pPr>
      <w:r w:rsidRPr="00E6409C">
        <w:rPr>
          <w:sz w:val="22"/>
          <w:szCs w:val="22"/>
        </w:rPr>
        <w:lastRenderedPageBreak/>
        <w:t>60.2</w:t>
      </w:r>
      <w:r w:rsidR="005C3AFB" w:rsidRPr="00E6409C">
        <w:rPr>
          <w:sz w:val="22"/>
          <w:szCs w:val="22"/>
        </w:rPr>
        <w:t>% of</w:t>
      </w:r>
      <w:r w:rsidR="00D636DB">
        <w:rPr>
          <w:sz w:val="22"/>
          <w:szCs w:val="22"/>
        </w:rPr>
        <w:t xml:space="preserve"> </w:t>
      </w:r>
      <w:r w:rsidR="000929CD">
        <w:rPr>
          <w:sz w:val="22"/>
          <w:szCs w:val="22"/>
        </w:rPr>
        <w:t>employees,</w:t>
      </w:r>
      <w:r w:rsidR="00D636DB">
        <w:rPr>
          <w:sz w:val="22"/>
          <w:szCs w:val="22"/>
        </w:rPr>
        <w:t xml:space="preserve"> </w:t>
      </w:r>
      <w:r w:rsidR="00F04512">
        <w:rPr>
          <w:sz w:val="22"/>
          <w:szCs w:val="22"/>
        </w:rPr>
        <w:t xml:space="preserve">who identified themselves as </w:t>
      </w:r>
      <w:r w:rsidR="005C3AFB" w:rsidRPr="00E6409C">
        <w:rPr>
          <w:sz w:val="22"/>
          <w:szCs w:val="22"/>
        </w:rPr>
        <w:t>disabled</w:t>
      </w:r>
      <w:r w:rsidR="000929CD">
        <w:rPr>
          <w:sz w:val="22"/>
          <w:szCs w:val="22"/>
        </w:rPr>
        <w:t>,</w:t>
      </w:r>
      <w:r w:rsidR="005C3AFB" w:rsidRPr="00E6409C">
        <w:rPr>
          <w:sz w:val="22"/>
          <w:szCs w:val="22"/>
        </w:rPr>
        <w:t xml:space="preserve"> </w:t>
      </w:r>
      <w:r w:rsidR="00F04512">
        <w:rPr>
          <w:sz w:val="22"/>
          <w:szCs w:val="22"/>
        </w:rPr>
        <w:t xml:space="preserve">were </w:t>
      </w:r>
      <w:r w:rsidR="005C3AFB" w:rsidRPr="00E6409C">
        <w:rPr>
          <w:sz w:val="22"/>
          <w:szCs w:val="22"/>
        </w:rPr>
        <w:t xml:space="preserve">engaged within </w:t>
      </w:r>
      <w:r w:rsidR="003F2646" w:rsidRPr="00E6409C">
        <w:rPr>
          <w:sz w:val="22"/>
          <w:szCs w:val="22"/>
        </w:rPr>
        <w:t xml:space="preserve">professional roles remunerated on Agenda for Change Band 5 or above, compared to </w:t>
      </w:r>
      <w:r w:rsidR="00311FA5" w:rsidRPr="00E6409C">
        <w:rPr>
          <w:sz w:val="22"/>
          <w:szCs w:val="22"/>
        </w:rPr>
        <w:t>5</w:t>
      </w:r>
      <w:r w:rsidR="00E6409C" w:rsidRPr="00E6409C">
        <w:rPr>
          <w:sz w:val="22"/>
          <w:szCs w:val="22"/>
        </w:rPr>
        <w:t>9.1</w:t>
      </w:r>
      <w:r w:rsidR="003F2646" w:rsidRPr="00E6409C">
        <w:rPr>
          <w:sz w:val="22"/>
          <w:szCs w:val="22"/>
        </w:rPr>
        <w:t xml:space="preserve">% of people who </w:t>
      </w:r>
      <w:r w:rsidR="00F04512">
        <w:rPr>
          <w:sz w:val="22"/>
          <w:szCs w:val="22"/>
        </w:rPr>
        <w:t>did not</w:t>
      </w:r>
      <w:r w:rsidR="008B45E2">
        <w:rPr>
          <w:sz w:val="22"/>
          <w:szCs w:val="22"/>
        </w:rPr>
        <w:t>.  As shown in the chart below, there were s</w:t>
      </w:r>
      <w:r w:rsidR="00D636DB">
        <w:rPr>
          <w:sz w:val="22"/>
          <w:szCs w:val="22"/>
        </w:rPr>
        <w:t xml:space="preserve">ome </w:t>
      </w:r>
      <w:r w:rsidR="008B45E2">
        <w:rPr>
          <w:sz w:val="22"/>
          <w:szCs w:val="22"/>
        </w:rPr>
        <w:t>variations in the distribution of staff across individual bandings when measured against an average of 7.0%</w:t>
      </w:r>
      <w:r w:rsidR="00F04512">
        <w:rPr>
          <w:sz w:val="22"/>
          <w:szCs w:val="22"/>
        </w:rPr>
        <w:t>.</w:t>
      </w:r>
      <w:r w:rsidR="0006304A" w:rsidRPr="00E6409C">
        <w:rPr>
          <w:sz w:val="22"/>
          <w:szCs w:val="22"/>
        </w:rPr>
        <w:t xml:space="preserve"> </w:t>
      </w:r>
    </w:p>
    <w:p w:rsidR="00BF003A" w:rsidRPr="00E6409C" w:rsidRDefault="00BF003A" w:rsidP="00BF003A">
      <w:pPr>
        <w:ind w:left="357"/>
        <w:jc w:val="both"/>
        <w:rPr>
          <w:sz w:val="22"/>
          <w:szCs w:val="22"/>
        </w:rPr>
      </w:pPr>
    </w:p>
    <w:p w:rsidR="000F2632" w:rsidRDefault="008B45E2" w:rsidP="008B45E2">
      <w:pPr>
        <w:spacing w:after="200" w:line="276" w:lineRule="auto"/>
        <w:jc w:val="right"/>
        <w:rPr>
          <w:sz w:val="22"/>
          <w:szCs w:val="22"/>
        </w:rPr>
      </w:pPr>
      <w:r>
        <w:rPr>
          <w:noProof/>
          <w:sz w:val="22"/>
          <w:szCs w:val="22"/>
          <w:lang w:eastAsia="en-GB"/>
        </w:rPr>
        <w:drawing>
          <wp:inline distT="0" distB="0" distL="0" distR="0">
            <wp:extent cx="5253296" cy="1992086"/>
            <wp:effectExtent l="19050" t="0" r="4504"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50055" cy="1990857"/>
                    </a:xfrm>
                    <a:prstGeom prst="rect">
                      <a:avLst/>
                    </a:prstGeom>
                    <a:noFill/>
                    <a:ln w="9525">
                      <a:noFill/>
                      <a:miter lim="800000"/>
                      <a:headEnd/>
                      <a:tailEnd/>
                    </a:ln>
                  </pic:spPr>
                </pic:pic>
              </a:graphicData>
            </a:graphic>
          </wp:inline>
        </w:drawing>
      </w:r>
    </w:p>
    <w:p w:rsidR="008B45E2" w:rsidRDefault="008B45E2" w:rsidP="008B45E2">
      <w:pPr>
        <w:spacing w:after="200" w:line="276" w:lineRule="auto"/>
        <w:jc w:val="right"/>
        <w:rPr>
          <w:sz w:val="22"/>
          <w:szCs w:val="22"/>
        </w:rPr>
      </w:pPr>
    </w:p>
    <w:p w:rsidR="003A5A55" w:rsidRPr="00823654" w:rsidRDefault="003A5A55" w:rsidP="003A5A55">
      <w:pPr>
        <w:spacing w:after="200" w:line="276" w:lineRule="auto"/>
        <w:jc w:val="center"/>
        <w:rPr>
          <w:sz w:val="22"/>
          <w:szCs w:val="22"/>
          <w:u w:val="single"/>
        </w:rPr>
      </w:pPr>
      <w:r w:rsidRPr="00823654">
        <w:rPr>
          <w:sz w:val="22"/>
          <w:szCs w:val="22"/>
          <w:u w:val="single"/>
        </w:rPr>
        <w:t>Gender</w:t>
      </w:r>
    </w:p>
    <w:p w:rsidR="00383C4D" w:rsidRDefault="003F2646" w:rsidP="00823654">
      <w:pPr>
        <w:numPr>
          <w:ilvl w:val="0"/>
          <w:numId w:val="2"/>
        </w:numPr>
        <w:ind w:left="714" w:hanging="357"/>
        <w:jc w:val="both"/>
        <w:rPr>
          <w:sz w:val="22"/>
          <w:szCs w:val="22"/>
        </w:rPr>
      </w:pPr>
      <w:r>
        <w:rPr>
          <w:sz w:val="22"/>
          <w:szCs w:val="22"/>
        </w:rPr>
        <w:t>8</w:t>
      </w:r>
      <w:r w:rsidR="005A3F6D">
        <w:rPr>
          <w:sz w:val="22"/>
          <w:szCs w:val="22"/>
        </w:rPr>
        <w:t>4.6</w:t>
      </w:r>
      <w:r>
        <w:rPr>
          <w:sz w:val="22"/>
          <w:szCs w:val="22"/>
        </w:rPr>
        <w:t xml:space="preserve">% of the </w:t>
      </w:r>
      <w:r w:rsidR="00E85E61">
        <w:rPr>
          <w:sz w:val="22"/>
          <w:szCs w:val="22"/>
        </w:rPr>
        <w:t xml:space="preserve">NHS Fife </w:t>
      </w:r>
      <w:r>
        <w:rPr>
          <w:sz w:val="22"/>
          <w:szCs w:val="22"/>
        </w:rPr>
        <w:t xml:space="preserve">workforce is female.  The pay gap between female and male employees is </w:t>
      </w:r>
      <w:r w:rsidR="00CE4296">
        <w:rPr>
          <w:sz w:val="22"/>
          <w:szCs w:val="22"/>
        </w:rPr>
        <w:t>1</w:t>
      </w:r>
      <w:r w:rsidR="00E6409C">
        <w:rPr>
          <w:sz w:val="22"/>
          <w:szCs w:val="22"/>
        </w:rPr>
        <w:t>8.18</w:t>
      </w:r>
      <w:r>
        <w:rPr>
          <w:sz w:val="22"/>
          <w:szCs w:val="22"/>
        </w:rPr>
        <w:t>%</w:t>
      </w:r>
      <w:r w:rsidR="00BB30AD">
        <w:rPr>
          <w:sz w:val="22"/>
          <w:szCs w:val="22"/>
        </w:rPr>
        <w:t xml:space="preserve">, with this </w:t>
      </w:r>
      <w:r w:rsidR="004B051F">
        <w:rPr>
          <w:sz w:val="22"/>
          <w:szCs w:val="22"/>
        </w:rPr>
        <w:t xml:space="preserve">figure </w:t>
      </w:r>
      <w:r w:rsidR="00BB30AD">
        <w:rPr>
          <w:sz w:val="22"/>
          <w:szCs w:val="22"/>
        </w:rPr>
        <w:t xml:space="preserve">reducing </w:t>
      </w:r>
      <w:r w:rsidR="004B051F">
        <w:rPr>
          <w:sz w:val="22"/>
          <w:szCs w:val="22"/>
        </w:rPr>
        <w:t xml:space="preserve">to </w:t>
      </w:r>
      <w:r w:rsidR="00E04E9A">
        <w:rPr>
          <w:sz w:val="22"/>
          <w:szCs w:val="22"/>
        </w:rPr>
        <w:t>1</w:t>
      </w:r>
      <w:r w:rsidR="00CE4296">
        <w:rPr>
          <w:sz w:val="22"/>
          <w:szCs w:val="22"/>
        </w:rPr>
        <w:t>4.2</w:t>
      </w:r>
      <w:r w:rsidR="00E6409C">
        <w:rPr>
          <w:sz w:val="22"/>
          <w:szCs w:val="22"/>
        </w:rPr>
        <w:t>4</w:t>
      </w:r>
      <w:r w:rsidR="004B051F">
        <w:rPr>
          <w:sz w:val="22"/>
          <w:szCs w:val="22"/>
        </w:rPr>
        <w:t xml:space="preserve">% when based on the median </w:t>
      </w:r>
      <w:r w:rsidR="00E85E61">
        <w:rPr>
          <w:sz w:val="22"/>
          <w:szCs w:val="22"/>
        </w:rPr>
        <w:t xml:space="preserve">(middle) </w:t>
      </w:r>
      <w:r w:rsidR="004B051F">
        <w:rPr>
          <w:sz w:val="22"/>
          <w:szCs w:val="22"/>
        </w:rPr>
        <w:t>value</w:t>
      </w:r>
      <w:r>
        <w:rPr>
          <w:sz w:val="22"/>
          <w:szCs w:val="22"/>
        </w:rPr>
        <w:t xml:space="preserve">.  </w:t>
      </w:r>
    </w:p>
    <w:p w:rsidR="00823654" w:rsidRDefault="00823654" w:rsidP="00823654">
      <w:pPr>
        <w:ind w:left="357"/>
        <w:jc w:val="both"/>
        <w:rPr>
          <w:sz w:val="22"/>
          <w:szCs w:val="22"/>
        </w:rPr>
      </w:pPr>
    </w:p>
    <w:p w:rsidR="00731BF8" w:rsidRDefault="00731BF8" w:rsidP="00823654">
      <w:pPr>
        <w:numPr>
          <w:ilvl w:val="0"/>
          <w:numId w:val="2"/>
        </w:numPr>
        <w:ind w:left="714" w:hanging="357"/>
        <w:jc w:val="both"/>
        <w:rPr>
          <w:sz w:val="22"/>
          <w:szCs w:val="22"/>
        </w:rPr>
      </w:pPr>
      <w:r w:rsidRPr="00BB30AD">
        <w:rPr>
          <w:sz w:val="22"/>
          <w:szCs w:val="22"/>
        </w:rPr>
        <w:t>In relation to the nature of work performed by those individuals who identified themselves as female, 7</w:t>
      </w:r>
      <w:r w:rsidR="00BB30AD" w:rsidRPr="00BB30AD">
        <w:rPr>
          <w:sz w:val="22"/>
          <w:szCs w:val="22"/>
        </w:rPr>
        <w:t>4.6</w:t>
      </w:r>
      <w:r w:rsidRPr="00BB30AD">
        <w:rPr>
          <w:sz w:val="22"/>
          <w:szCs w:val="22"/>
        </w:rPr>
        <w:t xml:space="preserve">% of people who identify themselves as </w:t>
      </w:r>
      <w:r w:rsidR="00BB30AD" w:rsidRPr="00BB30AD">
        <w:rPr>
          <w:sz w:val="22"/>
          <w:szCs w:val="22"/>
        </w:rPr>
        <w:t xml:space="preserve">female </w:t>
      </w:r>
      <w:r w:rsidRPr="00BB30AD">
        <w:rPr>
          <w:sz w:val="22"/>
          <w:szCs w:val="22"/>
        </w:rPr>
        <w:t xml:space="preserve">worked in </w:t>
      </w:r>
      <w:r w:rsidR="000929CD">
        <w:rPr>
          <w:sz w:val="22"/>
          <w:szCs w:val="22"/>
        </w:rPr>
        <w:t>j</w:t>
      </w:r>
      <w:r w:rsidRPr="00BB30AD">
        <w:rPr>
          <w:sz w:val="22"/>
          <w:szCs w:val="22"/>
        </w:rPr>
        <w:t xml:space="preserve">ob </w:t>
      </w:r>
      <w:r w:rsidR="000929CD">
        <w:rPr>
          <w:sz w:val="22"/>
          <w:szCs w:val="22"/>
        </w:rPr>
        <w:t>f</w:t>
      </w:r>
      <w:r w:rsidRPr="00BB30AD">
        <w:rPr>
          <w:sz w:val="22"/>
          <w:szCs w:val="22"/>
        </w:rPr>
        <w:t xml:space="preserve">amilies associated with clinical activities versus </w:t>
      </w:r>
      <w:r w:rsidR="00BB30AD" w:rsidRPr="00BB30AD">
        <w:rPr>
          <w:sz w:val="22"/>
          <w:szCs w:val="22"/>
        </w:rPr>
        <w:t>60.5</w:t>
      </w:r>
      <w:r w:rsidRPr="00BB30AD">
        <w:rPr>
          <w:sz w:val="22"/>
          <w:szCs w:val="22"/>
        </w:rPr>
        <w:t xml:space="preserve">% of people who did not.  As shown in the chart below, there were variations in the distribution of </w:t>
      </w:r>
      <w:r w:rsidR="000929CD">
        <w:rPr>
          <w:sz w:val="22"/>
          <w:szCs w:val="22"/>
        </w:rPr>
        <w:t xml:space="preserve">employees </w:t>
      </w:r>
      <w:r w:rsidRPr="00BB30AD">
        <w:rPr>
          <w:sz w:val="22"/>
          <w:szCs w:val="22"/>
        </w:rPr>
        <w:t>across individual job families</w:t>
      </w:r>
      <w:r w:rsidR="00D636DB">
        <w:rPr>
          <w:sz w:val="22"/>
          <w:szCs w:val="22"/>
        </w:rPr>
        <w:t xml:space="preserve">, although females were in the largest majority across all job families.  </w:t>
      </w:r>
    </w:p>
    <w:p w:rsidR="000929CD" w:rsidRDefault="000929CD" w:rsidP="000929CD">
      <w:pPr>
        <w:ind w:left="357"/>
        <w:jc w:val="both"/>
        <w:rPr>
          <w:sz w:val="22"/>
          <w:szCs w:val="22"/>
        </w:rPr>
      </w:pPr>
    </w:p>
    <w:p w:rsidR="00731BF8" w:rsidRDefault="00731BF8" w:rsidP="00731BF8">
      <w:pPr>
        <w:spacing w:after="200" w:line="276" w:lineRule="auto"/>
        <w:ind w:left="360"/>
        <w:jc w:val="right"/>
        <w:rPr>
          <w:sz w:val="22"/>
          <w:szCs w:val="22"/>
        </w:rPr>
      </w:pPr>
      <w:r>
        <w:rPr>
          <w:noProof/>
          <w:sz w:val="22"/>
          <w:szCs w:val="22"/>
          <w:lang w:eastAsia="en-GB"/>
        </w:rPr>
        <w:drawing>
          <wp:inline distT="0" distB="0" distL="0" distR="0">
            <wp:extent cx="5312229" cy="2006010"/>
            <wp:effectExtent l="19050" t="0" r="2721"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318180" cy="2008257"/>
                    </a:xfrm>
                    <a:prstGeom prst="rect">
                      <a:avLst/>
                    </a:prstGeom>
                    <a:noFill/>
                    <a:ln w="9525">
                      <a:noFill/>
                      <a:miter lim="800000"/>
                      <a:headEnd/>
                      <a:tailEnd/>
                    </a:ln>
                  </pic:spPr>
                </pic:pic>
              </a:graphicData>
            </a:graphic>
          </wp:inline>
        </w:drawing>
      </w:r>
    </w:p>
    <w:p w:rsidR="003A5A55" w:rsidRDefault="00632C6B" w:rsidP="00823654">
      <w:pPr>
        <w:numPr>
          <w:ilvl w:val="0"/>
          <w:numId w:val="2"/>
        </w:numPr>
        <w:ind w:left="714" w:hanging="357"/>
        <w:jc w:val="both"/>
        <w:rPr>
          <w:sz w:val="22"/>
          <w:szCs w:val="22"/>
        </w:rPr>
      </w:pPr>
      <w:r w:rsidRPr="003A5A55">
        <w:rPr>
          <w:sz w:val="22"/>
          <w:szCs w:val="22"/>
        </w:rPr>
        <w:t>Th</w:t>
      </w:r>
      <w:r w:rsidR="00BB30AD">
        <w:rPr>
          <w:sz w:val="22"/>
          <w:szCs w:val="22"/>
        </w:rPr>
        <w:t>e</w:t>
      </w:r>
      <w:r w:rsidR="00563905">
        <w:rPr>
          <w:sz w:val="22"/>
          <w:szCs w:val="22"/>
        </w:rPr>
        <w:t xml:space="preserve"> g</w:t>
      </w:r>
      <w:r w:rsidRPr="003A5A55">
        <w:rPr>
          <w:sz w:val="22"/>
          <w:szCs w:val="22"/>
        </w:rPr>
        <w:t xml:space="preserve">ender pay gap is influenced by occupational segregation factors.  </w:t>
      </w:r>
      <w:r w:rsidR="00D636DB">
        <w:rPr>
          <w:sz w:val="22"/>
          <w:szCs w:val="22"/>
        </w:rPr>
        <w:t xml:space="preserve">Specifically, </w:t>
      </w:r>
      <w:r w:rsidR="000929CD">
        <w:rPr>
          <w:sz w:val="22"/>
          <w:szCs w:val="22"/>
        </w:rPr>
        <w:t xml:space="preserve">the proportion of the female and male employees engaged within the </w:t>
      </w:r>
      <w:r w:rsidR="007C0D86" w:rsidRPr="003A5A55">
        <w:rPr>
          <w:sz w:val="22"/>
          <w:szCs w:val="22"/>
        </w:rPr>
        <w:t xml:space="preserve">Medical and Dental </w:t>
      </w:r>
      <w:r w:rsidR="003A5A55" w:rsidRPr="003A5A55">
        <w:rPr>
          <w:sz w:val="22"/>
          <w:szCs w:val="22"/>
        </w:rPr>
        <w:t xml:space="preserve">plus </w:t>
      </w:r>
      <w:r w:rsidR="007C0D86" w:rsidRPr="003A5A55">
        <w:rPr>
          <w:sz w:val="22"/>
          <w:szCs w:val="22"/>
        </w:rPr>
        <w:t xml:space="preserve">Executive / Senior Manager </w:t>
      </w:r>
      <w:r w:rsidR="003A5A55" w:rsidRPr="003A5A55">
        <w:rPr>
          <w:sz w:val="22"/>
          <w:szCs w:val="22"/>
        </w:rPr>
        <w:t>Pay G</w:t>
      </w:r>
      <w:r w:rsidR="007C0D86" w:rsidRPr="003A5A55">
        <w:rPr>
          <w:sz w:val="22"/>
          <w:szCs w:val="22"/>
        </w:rPr>
        <w:t>rades</w:t>
      </w:r>
      <w:r w:rsidR="000929CD">
        <w:rPr>
          <w:sz w:val="22"/>
          <w:szCs w:val="22"/>
        </w:rPr>
        <w:t xml:space="preserve">.  These grades </w:t>
      </w:r>
      <w:r w:rsidR="007C0D86" w:rsidRPr="003A5A55">
        <w:rPr>
          <w:sz w:val="22"/>
          <w:szCs w:val="22"/>
        </w:rPr>
        <w:t xml:space="preserve">are typically remunerated at higher hourly rates when compared to the Agenda for Change </w:t>
      </w:r>
      <w:r w:rsidR="00D636DB">
        <w:rPr>
          <w:sz w:val="22"/>
          <w:szCs w:val="22"/>
        </w:rPr>
        <w:t xml:space="preserve">job families.  </w:t>
      </w:r>
      <w:r w:rsidR="003A5A55" w:rsidRPr="003A5A55">
        <w:rPr>
          <w:sz w:val="22"/>
          <w:szCs w:val="22"/>
        </w:rPr>
        <w:t>A</w:t>
      </w:r>
      <w:r w:rsidR="007C0D86" w:rsidRPr="003A5A55">
        <w:rPr>
          <w:sz w:val="22"/>
          <w:szCs w:val="22"/>
        </w:rPr>
        <w:t xml:space="preserve">lthough there </w:t>
      </w:r>
      <w:r w:rsidR="00790A17" w:rsidRPr="003A5A55">
        <w:rPr>
          <w:sz w:val="22"/>
          <w:szCs w:val="22"/>
        </w:rPr>
        <w:t>are</w:t>
      </w:r>
      <w:r w:rsidR="007C0D86" w:rsidRPr="003A5A55">
        <w:rPr>
          <w:sz w:val="22"/>
          <w:szCs w:val="22"/>
        </w:rPr>
        <w:t xml:space="preserve"> a greater </w:t>
      </w:r>
      <w:r w:rsidR="00D636DB">
        <w:rPr>
          <w:sz w:val="22"/>
          <w:szCs w:val="22"/>
        </w:rPr>
        <w:t xml:space="preserve">proportion </w:t>
      </w:r>
      <w:r w:rsidR="00563905">
        <w:rPr>
          <w:sz w:val="22"/>
          <w:szCs w:val="22"/>
        </w:rPr>
        <w:t xml:space="preserve">of </w:t>
      </w:r>
      <w:r w:rsidR="007C0D86" w:rsidRPr="003A5A55">
        <w:rPr>
          <w:sz w:val="22"/>
          <w:szCs w:val="22"/>
        </w:rPr>
        <w:t>female</w:t>
      </w:r>
      <w:r w:rsidR="00563905">
        <w:rPr>
          <w:sz w:val="22"/>
          <w:szCs w:val="22"/>
        </w:rPr>
        <w:t>s</w:t>
      </w:r>
      <w:r w:rsidR="007C0D86" w:rsidRPr="003A5A55">
        <w:rPr>
          <w:sz w:val="22"/>
          <w:szCs w:val="22"/>
        </w:rPr>
        <w:t xml:space="preserve"> engaged in </w:t>
      </w:r>
      <w:r w:rsidR="00F179D2">
        <w:rPr>
          <w:sz w:val="22"/>
          <w:szCs w:val="22"/>
        </w:rPr>
        <w:t xml:space="preserve">both </w:t>
      </w:r>
      <w:r w:rsidR="007C0D86" w:rsidRPr="003A5A55">
        <w:rPr>
          <w:sz w:val="22"/>
          <w:szCs w:val="22"/>
        </w:rPr>
        <w:t xml:space="preserve">job categories, </w:t>
      </w:r>
      <w:r w:rsidR="00563905">
        <w:rPr>
          <w:sz w:val="22"/>
          <w:szCs w:val="22"/>
        </w:rPr>
        <w:t>overall the distribution of t</w:t>
      </w:r>
      <w:r w:rsidR="00BB30AD">
        <w:rPr>
          <w:sz w:val="22"/>
          <w:szCs w:val="22"/>
        </w:rPr>
        <w:t xml:space="preserve">he female workforce engaged in non Agenda for Change </w:t>
      </w:r>
      <w:r w:rsidR="00D636DB">
        <w:rPr>
          <w:sz w:val="22"/>
          <w:szCs w:val="22"/>
        </w:rPr>
        <w:t xml:space="preserve">job families </w:t>
      </w:r>
      <w:r w:rsidR="00563905">
        <w:rPr>
          <w:sz w:val="22"/>
          <w:szCs w:val="22"/>
        </w:rPr>
        <w:t xml:space="preserve">was </w:t>
      </w:r>
      <w:r w:rsidR="00E6409C">
        <w:rPr>
          <w:sz w:val="22"/>
          <w:szCs w:val="22"/>
        </w:rPr>
        <w:t>3.9</w:t>
      </w:r>
      <w:r w:rsidR="00CF2397">
        <w:rPr>
          <w:sz w:val="22"/>
          <w:szCs w:val="22"/>
        </w:rPr>
        <w:t>%</w:t>
      </w:r>
      <w:r w:rsidR="00563905">
        <w:rPr>
          <w:sz w:val="22"/>
          <w:szCs w:val="22"/>
        </w:rPr>
        <w:t xml:space="preserve"> versus </w:t>
      </w:r>
      <w:r w:rsidR="00780CF1">
        <w:rPr>
          <w:sz w:val="22"/>
          <w:szCs w:val="22"/>
        </w:rPr>
        <w:t>1</w:t>
      </w:r>
      <w:r w:rsidR="00E6409C">
        <w:rPr>
          <w:sz w:val="22"/>
          <w:szCs w:val="22"/>
        </w:rPr>
        <w:t>7.6</w:t>
      </w:r>
      <w:r w:rsidR="00780CF1">
        <w:rPr>
          <w:sz w:val="22"/>
          <w:szCs w:val="22"/>
        </w:rPr>
        <w:t xml:space="preserve">% </w:t>
      </w:r>
      <w:r w:rsidR="000929CD">
        <w:rPr>
          <w:sz w:val="22"/>
          <w:szCs w:val="22"/>
        </w:rPr>
        <w:t xml:space="preserve">for </w:t>
      </w:r>
      <w:r w:rsidR="00BB30AD">
        <w:rPr>
          <w:sz w:val="22"/>
          <w:szCs w:val="22"/>
        </w:rPr>
        <w:t xml:space="preserve">males.  </w:t>
      </w:r>
      <w:r w:rsidR="00563905">
        <w:rPr>
          <w:sz w:val="22"/>
          <w:szCs w:val="22"/>
        </w:rPr>
        <w:t>T</w:t>
      </w:r>
      <w:r w:rsidR="003A5A55" w:rsidRPr="003A5A55">
        <w:rPr>
          <w:sz w:val="22"/>
          <w:szCs w:val="22"/>
        </w:rPr>
        <w:t>h</w:t>
      </w:r>
      <w:r w:rsidR="004B051F">
        <w:rPr>
          <w:sz w:val="22"/>
          <w:szCs w:val="22"/>
        </w:rPr>
        <w:t xml:space="preserve">is </w:t>
      </w:r>
      <w:r w:rsidR="00563905">
        <w:rPr>
          <w:sz w:val="22"/>
          <w:szCs w:val="22"/>
        </w:rPr>
        <w:t xml:space="preserve">higher proportion of </w:t>
      </w:r>
      <w:r w:rsidR="00563905">
        <w:rPr>
          <w:sz w:val="22"/>
          <w:szCs w:val="22"/>
        </w:rPr>
        <w:lastRenderedPageBreak/>
        <w:t>m</w:t>
      </w:r>
      <w:r w:rsidR="00E85E61">
        <w:rPr>
          <w:sz w:val="22"/>
          <w:szCs w:val="22"/>
        </w:rPr>
        <w:t xml:space="preserve">ales engaged in </w:t>
      </w:r>
      <w:r w:rsidR="00BB30AD">
        <w:rPr>
          <w:sz w:val="22"/>
          <w:szCs w:val="22"/>
        </w:rPr>
        <w:t xml:space="preserve">non Agenda for Change pay grades </w:t>
      </w:r>
      <w:r w:rsidR="000D0415">
        <w:rPr>
          <w:sz w:val="22"/>
          <w:szCs w:val="22"/>
        </w:rPr>
        <w:t xml:space="preserve">had a greater impact in increasing the </w:t>
      </w:r>
      <w:r w:rsidR="00563905">
        <w:rPr>
          <w:sz w:val="22"/>
          <w:szCs w:val="22"/>
        </w:rPr>
        <w:t xml:space="preserve">average basic hourly rate for males.  </w:t>
      </w:r>
    </w:p>
    <w:p w:rsidR="00823654" w:rsidRDefault="00823654" w:rsidP="00823654">
      <w:pPr>
        <w:ind w:left="357"/>
        <w:jc w:val="both"/>
        <w:rPr>
          <w:sz w:val="22"/>
          <w:szCs w:val="22"/>
        </w:rPr>
      </w:pPr>
    </w:p>
    <w:p w:rsidR="00731BF8" w:rsidRDefault="00731BF8" w:rsidP="00731BF8">
      <w:pPr>
        <w:spacing w:after="200" w:line="276" w:lineRule="auto"/>
        <w:jc w:val="right"/>
        <w:rPr>
          <w:sz w:val="22"/>
          <w:szCs w:val="22"/>
        </w:rPr>
      </w:pPr>
      <w:r>
        <w:rPr>
          <w:noProof/>
          <w:sz w:val="22"/>
          <w:szCs w:val="22"/>
          <w:lang w:eastAsia="en-GB"/>
        </w:rPr>
        <w:drawing>
          <wp:inline distT="0" distB="0" distL="0" distR="0">
            <wp:extent cx="5274744" cy="2310492"/>
            <wp:effectExtent l="19050" t="0" r="2106"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274344" cy="2310317"/>
                    </a:xfrm>
                    <a:prstGeom prst="rect">
                      <a:avLst/>
                    </a:prstGeom>
                    <a:noFill/>
                    <a:ln w="9525">
                      <a:noFill/>
                      <a:miter lim="800000"/>
                      <a:headEnd/>
                      <a:tailEnd/>
                    </a:ln>
                  </pic:spPr>
                </pic:pic>
              </a:graphicData>
            </a:graphic>
          </wp:inline>
        </w:drawing>
      </w:r>
    </w:p>
    <w:p w:rsidR="004B051F" w:rsidRPr="00FE7323" w:rsidRDefault="00821AB1" w:rsidP="00823654">
      <w:pPr>
        <w:numPr>
          <w:ilvl w:val="0"/>
          <w:numId w:val="2"/>
        </w:numPr>
        <w:ind w:left="714" w:hanging="357"/>
        <w:jc w:val="both"/>
        <w:rPr>
          <w:sz w:val="22"/>
          <w:szCs w:val="22"/>
        </w:rPr>
      </w:pPr>
      <w:r w:rsidRPr="00FE7323">
        <w:rPr>
          <w:sz w:val="22"/>
          <w:szCs w:val="22"/>
        </w:rPr>
        <w:t>The results of the 202</w:t>
      </w:r>
      <w:r w:rsidR="00F179D2">
        <w:rPr>
          <w:sz w:val="22"/>
          <w:szCs w:val="22"/>
        </w:rPr>
        <w:t>5</w:t>
      </w:r>
      <w:r w:rsidR="004B051F" w:rsidRPr="00FE7323">
        <w:rPr>
          <w:sz w:val="22"/>
          <w:szCs w:val="22"/>
        </w:rPr>
        <w:t xml:space="preserve"> Gender Pay Audit are provided </w:t>
      </w:r>
      <w:r w:rsidR="007560D0">
        <w:rPr>
          <w:sz w:val="22"/>
          <w:szCs w:val="22"/>
        </w:rPr>
        <w:t xml:space="preserve">at the end of this </w:t>
      </w:r>
      <w:r w:rsidR="004B051F" w:rsidRPr="00FE7323">
        <w:rPr>
          <w:sz w:val="22"/>
          <w:szCs w:val="22"/>
        </w:rPr>
        <w:t>report.</w:t>
      </w:r>
    </w:p>
    <w:p w:rsidR="007F5963" w:rsidRDefault="007F5963" w:rsidP="007F5963">
      <w:pPr>
        <w:spacing w:after="200" w:line="276" w:lineRule="auto"/>
        <w:jc w:val="center"/>
        <w:rPr>
          <w:sz w:val="22"/>
          <w:szCs w:val="22"/>
        </w:rPr>
      </w:pPr>
    </w:p>
    <w:p w:rsidR="007F5963" w:rsidRPr="00823654" w:rsidRDefault="007F5963" w:rsidP="007F5963">
      <w:pPr>
        <w:spacing w:after="200" w:line="276" w:lineRule="auto"/>
        <w:jc w:val="center"/>
        <w:rPr>
          <w:sz w:val="22"/>
          <w:szCs w:val="22"/>
          <w:u w:val="single"/>
        </w:rPr>
      </w:pPr>
      <w:r w:rsidRPr="00823654">
        <w:rPr>
          <w:sz w:val="22"/>
          <w:szCs w:val="22"/>
          <w:u w:val="single"/>
        </w:rPr>
        <w:t>Race</w:t>
      </w:r>
    </w:p>
    <w:p w:rsidR="00C63F7D" w:rsidRDefault="00C63F7D" w:rsidP="00823654">
      <w:pPr>
        <w:numPr>
          <w:ilvl w:val="0"/>
          <w:numId w:val="2"/>
        </w:numPr>
        <w:ind w:left="714" w:hanging="357"/>
        <w:jc w:val="both"/>
        <w:rPr>
          <w:sz w:val="22"/>
          <w:szCs w:val="22"/>
        </w:rPr>
      </w:pPr>
      <w:r>
        <w:rPr>
          <w:sz w:val="22"/>
          <w:szCs w:val="22"/>
        </w:rPr>
        <w:t xml:space="preserve">7.0% of all those who provided a positive response to this Protected Characteristic identified themselves as belonging to a non-white racial group (4.8% in 2023).  This group of </w:t>
      </w:r>
      <w:r w:rsidR="000D0415">
        <w:rPr>
          <w:sz w:val="22"/>
          <w:szCs w:val="22"/>
        </w:rPr>
        <w:t>employees are</w:t>
      </w:r>
      <w:r>
        <w:rPr>
          <w:sz w:val="22"/>
          <w:szCs w:val="22"/>
        </w:rPr>
        <w:t xml:space="preserve"> described as a minority racial group for the purposes of determining Occupational Segregation.  The percentage of </w:t>
      </w:r>
      <w:r w:rsidR="000D0415">
        <w:rPr>
          <w:sz w:val="22"/>
          <w:szCs w:val="22"/>
        </w:rPr>
        <w:t xml:space="preserve">employees </w:t>
      </w:r>
      <w:r>
        <w:rPr>
          <w:sz w:val="22"/>
          <w:szCs w:val="22"/>
        </w:rPr>
        <w:t xml:space="preserve">identifying themselves as belonging to a minority racial group as measured against the wider NHS Fife workforce </w:t>
      </w:r>
      <w:r w:rsidR="003026FF">
        <w:rPr>
          <w:sz w:val="22"/>
          <w:szCs w:val="22"/>
        </w:rPr>
        <w:t xml:space="preserve">has risen to </w:t>
      </w:r>
      <w:r>
        <w:rPr>
          <w:sz w:val="22"/>
          <w:szCs w:val="22"/>
        </w:rPr>
        <w:t xml:space="preserve">4.8% (2.8% in 2023).  Similar to increases in the data capture for those identifying as disabled, there are a variety of factors contributing to this increase, ranging from </w:t>
      </w:r>
      <w:r w:rsidR="0040798E">
        <w:rPr>
          <w:sz w:val="22"/>
          <w:szCs w:val="22"/>
        </w:rPr>
        <w:t xml:space="preserve">international </w:t>
      </w:r>
      <w:r>
        <w:rPr>
          <w:sz w:val="22"/>
          <w:szCs w:val="22"/>
        </w:rPr>
        <w:t xml:space="preserve">recruitment campaigns, improved data capture and applicants and staff being more confident in disclosing this information.  </w:t>
      </w:r>
    </w:p>
    <w:p w:rsidR="00823654" w:rsidRDefault="00823654" w:rsidP="00823654">
      <w:pPr>
        <w:ind w:left="357"/>
        <w:jc w:val="both"/>
        <w:rPr>
          <w:sz w:val="22"/>
          <w:szCs w:val="22"/>
        </w:rPr>
      </w:pPr>
    </w:p>
    <w:p w:rsidR="00C63F7D" w:rsidRDefault="0040798E" w:rsidP="00823654">
      <w:pPr>
        <w:numPr>
          <w:ilvl w:val="0"/>
          <w:numId w:val="2"/>
        </w:numPr>
        <w:ind w:left="714" w:hanging="357"/>
        <w:jc w:val="both"/>
        <w:rPr>
          <w:sz w:val="22"/>
          <w:szCs w:val="22"/>
        </w:rPr>
      </w:pPr>
      <w:r>
        <w:rPr>
          <w:sz w:val="22"/>
          <w:szCs w:val="22"/>
        </w:rPr>
        <w:t xml:space="preserve">Those who </w:t>
      </w:r>
      <w:r w:rsidR="00C63F7D">
        <w:rPr>
          <w:sz w:val="22"/>
          <w:szCs w:val="22"/>
        </w:rPr>
        <w:t xml:space="preserve">identify themselves as </w:t>
      </w:r>
      <w:r>
        <w:rPr>
          <w:sz w:val="22"/>
          <w:szCs w:val="22"/>
        </w:rPr>
        <w:t>belonging to a minority racial group ha</w:t>
      </w:r>
      <w:r w:rsidR="000D0415">
        <w:rPr>
          <w:sz w:val="22"/>
          <w:szCs w:val="22"/>
        </w:rPr>
        <w:t>ve</w:t>
      </w:r>
      <w:r>
        <w:rPr>
          <w:sz w:val="22"/>
          <w:szCs w:val="22"/>
        </w:rPr>
        <w:t xml:space="preserve"> been remunerated, on average, at a higher basic hourly rate compared to those who do not.  </w:t>
      </w:r>
      <w:r w:rsidR="00BF4785">
        <w:rPr>
          <w:sz w:val="22"/>
          <w:szCs w:val="22"/>
        </w:rPr>
        <w:t xml:space="preserve">The Pay Gap </w:t>
      </w:r>
      <w:r w:rsidR="00C63F7D">
        <w:rPr>
          <w:sz w:val="22"/>
          <w:szCs w:val="22"/>
        </w:rPr>
        <w:t xml:space="preserve">sits at </w:t>
      </w:r>
      <w:r w:rsidR="00BF4785">
        <w:rPr>
          <w:sz w:val="22"/>
          <w:szCs w:val="22"/>
        </w:rPr>
        <w:t>14.8</w:t>
      </w:r>
      <w:r w:rsidR="00C63F7D">
        <w:rPr>
          <w:sz w:val="22"/>
          <w:szCs w:val="22"/>
        </w:rPr>
        <w:t xml:space="preserve">%.  </w:t>
      </w:r>
      <w:r w:rsidR="000D0415">
        <w:rPr>
          <w:sz w:val="22"/>
          <w:szCs w:val="22"/>
        </w:rPr>
        <w:t>There has been more fluctuation in this pay gap since 20</w:t>
      </w:r>
      <w:r w:rsidR="007427D9">
        <w:rPr>
          <w:sz w:val="22"/>
          <w:szCs w:val="22"/>
        </w:rPr>
        <w:t>17, in part due to the move to the</w:t>
      </w:r>
      <w:r w:rsidR="00606215">
        <w:rPr>
          <w:sz w:val="22"/>
          <w:szCs w:val="22"/>
        </w:rPr>
        <w:t xml:space="preserve"> </w:t>
      </w:r>
      <w:r w:rsidR="007427D9">
        <w:rPr>
          <w:sz w:val="22"/>
          <w:szCs w:val="22"/>
        </w:rPr>
        <w:t>R</w:t>
      </w:r>
      <w:r w:rsidR="00606215">
        <w:rPr>
          <w:sz w:val="22"/>
          <w:szCs w:val="22"/>
        </w:rPr>
        <w:t>egional employer model for Doctors and Denti</w:t>
      </w:r>
      <w:r w:rsidR="007427D9">
        <w:rPr>
          <w:sz w:val="22"/>
          <w:szCs w:val="22"/>
        </w:rPr>
        <w:t>sts in Training introduced in</w:t>
      </w:r>
      <w:r w:rsidR="00606215">
        <w:rPr>
          <w:sz w:val="22"/>
          <w:szCs w:val="22"/>
        </w:rPr>
        <w:t xml:space="preserve"> August 2018</w:t>
      </w:r>
      <w:r w:rsidR="000D0415">
        <w:rPr>
          <w:sz w:val="22"/>
          <w:szCs w:val="22"/>
        </w:rPr>
        <w:t xml:space="preserve"> (resulting in </w:t>
      </w:r>
      <w:r w:rsidR="004213D1">
        <w:rPr>
          <w:sz w:val="22"/>
          <w:szCs w:val="22"/>
        </w:rPr>
        <w:t xml:space="preserve">a reduction in the number of staff </w:t>
      </w:r>
      <w:r w:rsidR="000D0415">
        <w:rPr>
          <w:sz w:val="22"/>
          <w:szCs w:val="22"/>
        </w:rPr>
        <w:t>identif</w:t>
      </w:r>
      <w:r w:rsidR="004213D1">
        <w:rPr>
          <w:sz w:val="22"/>
          <w:szCs w:val="22"/>
        </w:rPr>
        <w:t>ying as a minority racial group between 2017 and 2019</w:t>
      </w:r>
      <w:r w:rsidR="000D0415">
        <w:rPr>
          <w:sz w:val="22"/>
          <w:szCs w:val="22"/>
        </w:rPr>
        <w:t xml:space="preserve">, and </w:t>
      </w:r>
      <w:r w:rsidR="004213D1">
        <w:rPr>
          <w:sz w:val="22"/>
          <w:szCs w:val="22"/>
        </w:rPr>
        <w:t xml:space="preserve">a </w:t>
      </w:r>
      <w:r w:rsidR="000D0415">
        <w:rPr>
          <w:sz w:val="22"/>
          <w:szCs w:val="22"/>
        </w:rPr>
        <w:t xml:space="preserve">targeted international recruitment </w:t>
      </w:r>
      <w:r w:rsidR="004213D1">
        <w:rPr>
          <w:sz w:val="22"/>
          <w:szCs w:val="22"/>
        </w:rPr>
        <w:t xml:space="preserve">campaign </w:t>
      </w:r>
      <w:r w:rsidR="000D0415">
        <w:rPr>
          <w:sz w:val="22"/>
          <w:szCs w:val="22"/>
        </w:rPr>
        <w:t>between 2023 and 2024</w:t>
      </w:r>
      <w:r w:rsidR="00606215">
        <w:rPr>
          <w:sz w:val="22"/>
          <w:szCs w:val="22"/>
        </w:rPr>
        <w:t xml:space="preserve">. </w:t>
      </w:r>
    </w:p>
    <w:p w:rsidR="00823654" w:rsidRDefault="00823654" w:rsidP="00823654">
      <w:pPr>
        <w:pStyle w:val="ListParagraph"/>
        <w:rPr>
          <w:sz w:val="22"/>
          <w:szCs w:val="22"/>
        </w:rPr>
      </w:pPr>
    </w:p>
    <w:p w:rsidR="00823654" w:rsidRDefault="00823654" w:rsidP="00823654">
      <w:pPr>
        <w:ind w:left="357"/>
        <w:jc w:val="both"/>
        <w:rPr>
          <w:sz w:val="22"/>
          <w:szCs w:val="22"/>
        </w:rPr>
      </w:pPr>
    </w:p>
    <w:tbl>
      <w:tblPr>
        <w:tblStyle w:val="TableGrid"/>
        <w:tblW w:w="0" w:type="auto"/>
        <w:tblInd w:w="817" w:type="dxa"/>
        <w:tblLook w:val="04A0"/>
      </w:tblPr>
      <w:tblGrid>
        <w:gridCol w:w="1559"/>
        <w:gridCol w:w="993"/>
        <w:gridCol w:w="992"/>
        <w:gridCol w:w="992"/>
        <w:gridCol w:w="992"/>
        <w:gridCol w:w="993"/>
        <w:gridCol w:w="992"/>
        <w:gridCol w:w="912"/>
      </w:tblGrid>
      <w:tr w:rsidR="00BF4785" w:rsidRPr="00CA1123" w:rsidTr="00BF4785">
        <w:tc>
          <w:tcPr>
            <w:tcW w:w="1559" w:type="dxa"/>
            <w:tcBorders>
              <w:top w:val="nil"/>
              <w:left w:val="nil"/>
            </w:tcBorders>
          </w:tcPr>
          <w:p w:rsidR="00BF4785" w:rsidRPr="00823654" w:rsidRDefault="00BF4785" w:rsidP="00BF4785">
            <w:pPr>
              <w:spacing w:after="200" w:line="276" w:lineRule="auto"/>
              <w:jc w:val="both"/>
              <w:rPr>
                <w:rFonts w:asciiTheme="minorHAnsi" w:hAnsiTheme="minorHAnsi" w:cstheme="minorHAnsi"/>
                <w:sz w:val="18"/>
                <w:szCs w:val="18"/>
              </w:rPr>
            </w:pPr>
          </w:p>
        </w:tc>
        <w:tc>
          <w:tcPr>
            <w:tcW w:w="993" w:type="dxa"/>
            <w:shd w:val="clear" w:color="auto" w:fill="DBE5F1" w:themeFill="accent1" w:themeFillTint="33"/>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2013</w:t>
            </w:r>
          </w:p>
        </w:tc>
        <w:tc>
          <w:tcPr>
            <w:tcW w:w="992" w:type="dxa"/>
            <w:shd w:val="clear" w:color="auto" w:fill="DBE5F1" w:themeFill="accent1" w:themeFillTint="33"/>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2015</w:t>
            </w:r>
          </w:p>
        </w:tc>
        <w:tc>
          <w:tcPr>
            <w:tcW w:w="992" w:type="dxa"/>
            <w:shd w:val="clear" w:color="auto" w:fill="DBE5F1" w:themeFill="accent1" w:themeFillTint="33"/>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2017</w:t>
            </w:r>
          </w:p>
        </w:tc>
        <w:tc>
          <w:tcPr>
            <w:tcW w:w="992" w:type="dxa"/>
            <w:shd w:val="clear" w:color="auto" w:fill="DBE5F1" w:themeFill="accent1" w:themeFillTint="33"/>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2019</w:t>
            </w:r>
          </w:p>
        </w:tc>
        <w:tc>
          <w:tcPr>
            <w:tcW w:w="993" w:type="dxa"/>
            <w:shd w:val="clear" w:color="auto" w:fill="DBE5F1" w:themeFill="accent1" w:themeFillTint="33"/>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2021</w:t>
            </w:r>
          </w:p>
        </w:tc>
        <w:tc>
          <w:tcPr>
            <w:tcW w:w="992" w:type="dxa"/>
            <w:shd w:val="clear" w:color="auto" w:fill="DBE5F1" w:themeFill="accent1" w:themeFillTint="33"/>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2023</w:t>
            </w:r>
          </w:p>
        </w:tc>
        <w:tc>
          <w:tcPr>
            <w:tcW w:w="912" w:type="dxa"/>
            <w:shd w:val="clear" w:color="auto" w:fill="DBE5F1" w:themeFill="accent1" w:themeFillTint="33"/>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2025</w:t>
            </w:r>
          </w:p>
        </w:tc>
      </w:tr>
      <w:tr w:rsidR="00BF4785" w:rsidRPr="00CA1123" w:rsidTr="00BF4785">
        <w:tc>
          <w:tcPr>
            <w:tcW w:w="1559"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Race Pay Gap</w:t>
            </w:r>
          </w:p>
        </w:tc>
        <w:tc>
          <w:tcPr>
            <w:tcW w:w="993" w:type="dxa"/>
          </w:tcPr>
          <w:p w:rsidR="00BF4785" w:rsidRPr="00823654" w:rsidRDefault="00BF4785" w:rsidP="00BF4785">
            <w:pPr>
              <w:spacing w:after="200" w:line="276" w:lineRule="auto"/>
              <w:jc w:val="center"/>
              <w:rPr>
                <w:rFonts w:asciiTheme="minorHAnsi" w:hAnsiTheme="minorHAnsi" w:cstheme="minorHAnsi"/>
                <w:sz w:val="18"/>
                <w:szCs w:val="18"/>
              </w:rPr>
            </w:pPr>
            <w:r w:rsidRPr="00823654">
              <w:rPr>
                <w:rFonts w:asciiTheme="minorHAnsi" w:hAnsiTheme="minorHAnsi" w:cstheme="minorHAnsi"/>
                <w:sz w:val="18"/>
                <w:szCs w:val="18"/>
              </w:rPr>
              <w:t>-</w:t>
            </w:r>
          </w:p>
        </w:tc>
        <w:tc>
          <w:tcPr>
            <w:tcW w:w="992" w:type="dxa"/>
          </w:tcPr>
          <w:p w:rsidR="00BF4785" w:rsidRPr="00823654" w:rsidRDefault="00BF4785" w:rsidP="00BF4785">
            <w:pPr>
              <w:spacing w:after="200" w:line="276" w:lineRule="auto"/>
              <w:jc w:val="center"/>
              <w:rPr>
                <w:rFonts w:asciiTheme="minorHAnsi" w:hAnsiTheme="minorHAnsi" w:cstheme="minorHAnsi"/>
                <w:sz w:val="18"/>
                <w:szCs w:val="18"/>
              </w:rPr>
            </w:pPr>
            <w:r w:rsidRPr="00823654">
              <w:rPr>
                <w:rFonts w:asciiTheme="minorHAnsi" w:hAnsiTheme="minorHAnsi" w:cstheme="minorHAnsi"/>
                <w:sz w:val="18"/>
                <w:szCs w:val="18"/>
              </w:rPr>
              <w:t>-</w:t>
            </w:r>
          </w:p>
        </w:tc>
        <w:tc>
          <w:tcPr>
            <w:tcW w:w="992"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1.2%</w:t>
            </w:r>
          </w:p>
        </w:tc>
        <w:tc>
          <w:tcPr>
            <w:tcW w:w="992"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5.5%</w:t>
            </w:r>
          </w:p>
        </w:tc>
        <w:tc>
          <w:tcPr>
            <w:tcW w:w="993"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28.3%</w:t>
            </w:r>
          </w:p>
        </w:tc>
        <w:tc>
          <w:tcPr>
            <w:tcW w:w="992"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22.4%</w:t>
            </w:r>
          </w:p>
        </w:tc>
        <w:tc>
          <w:tcPr>
            <w:tcW w:w="912"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14.8%</w:t>
            </w:r>
          </w:p>
        </w:tc>
      </w:tr>
      <w:tr w:rsidR="00BF4785" w:rsidRPr="00CA1123" w:rsidTr="00BF4785">
        <w:tc>
          <w:tcPr>
            <w:tcW w:w="1559"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Staff Identifying within PC</w:t>
            </w:r>
          </w:p>
        </w:tc>
        <w:tc>
          <w:tcPr>
            <w:tcW w:w="993" w:type="dxa"/>
          </w:tcPr>
          <w:p w:rsidR="00BF4785" w:rsidRPr="00823654" w:rsidRDefault="00BF4785" w:rsidP="00BF4785">
            <w:pPr>
              <w:spacing w:after="200" w:line="276" w:lineRule="auto"/>
              <w:jc w:val="both"/>
              <w:rPr>
                <w:rFonts w:asciiTheme="minorHAnsi" w:hAnsiTheme="minorHAnsi" w:cstheme="minorHAnsi"/>
                <w:sz w:val="18"/>
                <w:szCs w:val="18"/>
              </w:rPr>
            </w:pPr>
          </w:p>
        </w:tc>
        <w:tc>
          <w:tcPr>
            <w:tcW w:w="992" w:type="dxa"/>
          </w:tcPr>
          <w:p w:rsidR="00BF4785" w:rsidRPr="00823654" w:rsidRDefault="00BF4785" w:rsidP="00BF4785">
            <w:pPr>
              <w:spacing w:after="200" w:line="276" w:lineRule="auto"/>
              <w:jc w:val="both"/>
              <w:rPr>
                <w:rFonts w:asciiTheme="minorHAnsi" w:hAnsiTheme="minorHAnsi" w:cstheme="minorHAnsi"/>
                <w:sz w:val="18"/>
                <w:szCs w:val="18"/>
              </w:rPr>
            </w:pPr>
          </w:p>
        </w:tc>
        <w:tc>
          <w:tcPr>
            <w:tcW w:w="992"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142</w:t>
            </w:r>
          </w:p>
        </w:tc>
        <w:tc>
          <w:tcPr>
            <w:tcW w:w="992"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98</w:t>
            </w:r>
          </w:p>
        </w:tc>
        <w:tc>
          <w:tcPr>
            <w:tcW w:w="993"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160</w:t>
            </w:r>
          </w:p>
        </w:tc>
        <w:tc>
          <w:tcPr>
            <w:tcW w:w="992"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272</w:t>
            </w:r>
          </w:p>
        </w:tc>
        <w:tc>
          <w:tcPr>
            <w:tcW w:w="912" w:type="dxa"/>
          </w:tcPr>
          <w:p w:rsidR="00BF4785" w:rsidRPr="00823654" w:rsidRDefault="00BF4785" w:rsidP="00BF4785">
            <w:pPr>
              <w:spacing w:after="200" w:line="276" w:lineRule="auto"/>
              <w:jc w:val="both"/>
              <w:rPr>
                <w:rFonts w:asciiTheme="minorHAnsi" w:hAnsiTheme="minorHAnsi" w:cstheme="minorHAnsi"/>
                <w:sz w:val="18"/>
                <w:szCs w:val="18"/>
              </w:rPr>
            </w:pPr>
            <w:r w:rsidRPr="00823654">
              <w:rPr>
                <w:rFonts w:asciiTheme="minorHAnsi" w:hAnsiTheme="minorHAnsi" w:cstheme="minorHAnsi"/>
                <w:sz w:val="18"/>
                <w:szCs w:val="18"/>
              </w:rPr>
              <w:t>480</w:t>
            </w:r>
          </w:p>
        </w:tc>
      </w:tr>
    </w:tbl>
    <w:p w:rsidR="00BF4785" w:rsidRDefault="00BF4785" w:rsidP="00BF4785">
      <w:pPr>
        <w:spacing w:after="200" w:line="276" w:lineRule="auto"/>
        <w:jc w:val="both"/>
        <w:rPr>
          <w:sz w:val="22"/>
          <w:szCs w:val="22"/>
        </w:rPr>
      </w:pPr>
    </w:p>
    <w:p w:rsidR="00606215" w:rsidRDefault="00A81670" w:rsidP="00823654">
      <w:pPr>
        <w:numPr>
          <w:ilvl w:val="0"/>
          <w:numId w:val="2"/>
        </w:numPr>
        <w:ind w:left="714" w:hanging="357"/>
        <w:jc w:val="both"/>
        <w:rPr>
          <w:sz w:val="22"/>
          <w:szCs w:val="22"/>
        </w:rPr>
      </w:pPr>
      <w:r w:rsidRPr="00606215">
        <w:rPr>
          <w:sz w:val="22"/>
          <w:szCs w:val="22"/>
        </w:rPr>
        <w:t>Th</w:t>
      </w:r>
      <w:r w:rsidR="003026FF">
        <w:rPr>
          <w:sz w:val="22"/>
          <w:szCs w:val="22"/>
        </w:rPr>
        <w:t>ere</w:t>
      </w:r>
      <w:r w:rsidRPr="00606215">
        <w:rPr>
          <w:sz w:val="22"/>
          <w:szCs w:val="22"/>
        </w:rPr>
        <w:t xml:space="preserve"> is a greater concentration of persons from a minority group engaged within clinical job families.  </w:t>
      </w:r>
      <w:r w:rsidR="00BD2E3D" w:rsidRPr="00606215">
        <w:rPr>
          <w:sz w:val="22"/>
          <w:szCs w:val="22"/>
        </w:rPr>
        <w:t>90.4</w:t>
      </w:r>
      <w:r w:rsidRPr="00606215">
        <w:rPr>
          <w:sz w:val="22"/>
          <w:szCs w:val="22"/>
        </w:rPr>
        <w:t xml:space="preserve">% of persons from a minority group are engaged within </w:t>
      </w:r>
      <w:r w:rsidR="003026FF">
        <w:rPr>
          <w:sz w:val="22"/>
          <w:szCs w:val="22"/>
        </w:rPr>
        <w:t>j</w:t>
      </w:r>
      <w:r w:rsidR="00FE7323" w:rsidRPr="00606215">
        <w:rPr>
          <w:sz w:val="22"/>
          <w:szCs w:val="22"/>
        </w:rPr>
        <w:t xml:space="preserve">ob </w:t>
      </w:r>
      <w:r w:rsidR="003026FF">
        <w:rPr>
          <w:sz w:val="22"/>
          <w:szCs w:val="22"/>
        </w:rPr>
        <w:t>f</w:t>
      </w:r>
      <w:r w:rsidR="00FE7323" w:rsidRPr="00606215">
        <w:rPr>
          <w:sz w:val="22"/>
          <w:szCs w:val="22"/>
        </w:rPr>
        <w:t xml:space="preserve">amilies </w:t>
      </w:r>
      <w:r w:rsidR="00FE3339" w:rsidRPr="00606215">
        <w:rPr>
          <w:sz w:val="22"/>
          <w:szCs w:val="22"/>
        </w:rPr>
        <w:t xml:space="preserve">associated with </w:t>
      </w:r>
      <w:r w:rsidR="00FE7323" w:rsidRPr="00606215">
        <w:rPr>
          <w:sz w:val="22"/>
          <w:szCs w:val="22"/>
        </w:rPr>
        <w:t xml:space="preserve">clinical work compared to </w:t>
      </w:r>
      <w:r w:rsidR="00BD2E3D" w:rsidRPr="00606215">
        <w:rPr>
          <w:sz w:val="22"/>
          <w:szCs w:val="22"/>
        </w:rPr>
        <w:t>70.5</w:t>
      </w:r>
      <w:r w:rsidRPr="00606215">
        <w:rPr>
          <w:sz w:val="22"/>
          <w:szCs w:val="22"/>
        </w:rPr>
        <w:t xml:space="preserve">% of persons who are not.  </w:t>
      </w:r>
      <w:r w:rsidR="0011314C">
        <w:rPr>
          <w:sz w:val="22"/>
          <w:szCs w:val="22"/>
        </w:rPr>
        <w:t xml:space="preserve">As </w:t>
      </w:r>
      <w:r w:rsidR="0011314C">
        <w:rPr>
          <w:sz w:val="22"/>
          <w:szCs w:val="22"/>
        </w:rPr>
        <w:lastRenderedPageBreak/>
        <w:t>shown in the chart below, t</w:t>
      </w:r>
      <w:r w:rsidR="00606215" w:rsidRPr="00606215">
        <w:rPr>
          <w:sz w:val="22"/>
          <w:szCs w:val="22"/>
        </w:rPr>
        <w:t xml:space="preserve">he greatest </w:t>
      </w:r>
      <w:r w:rsidR="00823654">
        <w:rPr>
          <w:sz w:val="22"/>
          <w:szCs w:val="22"/>
        </w:rPr>
        <w:t>concentration of employees</w:t>
      </w:r>
      <w:r w:rsidR="009D521B" w:rsidRPr="00606215">
        <w:rPr>
          <w:sz w:val="22"/>
          <w:szCs w:val="22"/>
        </w:rPr>
        <w:t xml:space="preserve"> from this Protected Characteristic </w:t>
      </w:r>
      <w:r w:rsidR="00823654">
        <w:rPr>
          <w:sz w:val="22"/>
          <w:szCs w:val="22"/>
        </w:rPr>
        <w:t>are</w:t>
      </w:r>
      <w:r w:rsidR="00606215" w:rsidRPr="00606215">
        <w:rPr>
          <w:sz w:val="22"/>
          <w:szCs w:val="22"/>
        </w:rPr>
        <w:t xml:space="preserve"> engaged within the Medical and Dental </w:t>
      </w:r>
      <w:r w:rsidR="003026FF">
        <w:rPr>
          <w:sz w:val="22"/>
          <w:szCs w:val="22"/>
        </w:rPr>
        <w:t>j</w:t>
      </w:r>
      <w:r w:rsidR="00606215" w:rsidRPr="00606215">
        <w:rPr>
          <w:sz w:val="22"/>
          <w:szCs w:val="22"/>
        </w:rPr>
        <w:t xml:space="preserve">ob </w:t>
      </w:r>
      <w:r w:rsidR="003026FF">
        <w:rPr>
          <w:sz w:val="22"/>
          <w:szCs w:val="22"/>
        </w:rPr>
        <w:t>f</w:t>
      </w:r>
      <w:r w:rsidR="00606215" w:rsidRPr="00606215">
        <w:rPr>
          <w:sz w:val="22"/>
          <w:szCs w:val="22"/>
        </w:rPr>
        <w:t xml:space="preserve">amily, with the lowest concentration engaged within the </w:t>
      </w:r>
      <w:r w:rsidR="009D521B" w:rsidRPr="00606215">
        <w:rPr>
          <w:sz w:val="22"/>
          <w:szCs w:val="22"/>
        </w:rPr>
        <w:t>Administrative</w:t>
      </w:r>
      <w:r w:rsidR="00606215" w:rsidRPr="00606215">
        <w:rPr>
          <w:sz w:val="22"/>
          <w:szCs w:val="22"/>
        </w:rPr>
        <w:t xml:space="preserve"> Services job family.</w:t>
      </w:r>
    </w:p>
    <w:p w:rsidR="00823654" w:rsidRDefault="00823654" w:rsidP="00823654">
      <w:pPr>
        <w:ind w:left="357"/>
        <w:jc w:val="both"/>
        <w:rPr>
          <w:sz w:val="22"/>
          <w:szCs w:val="22"/>
        </w:rPr>
      </w:pPr>
    </w:p>
    <w:p w:rsidR="00606215" w:rsidRPr="00606215" w:rsidRDefault="009D521B" w:rsidP="009D521B">
      <w:pPr>
        <w:spacing w:after="200" w:line="276" w:lineRule="auto"/>
        <w:ind w:left="360"/>
        <w:jc w:val="right"/>
        <w:rPr>
          <w:sz w:val="22"/>
          <w:szCs w:val="22"/>
        </w:rPr>
      </w:pPr>
      <w:r>
        <w:rPr>
          <w:noProof/>
          <w:sz w:val="22"/>
          <w:szCs w:val="22"/>
          <w:lang w:eastAsia="en-GB"/>
        </w:rPr>
        <w:drawing>
          <wp:inline distT="0" distB="0" distL="0" distR="0">
            <wp:extent cx="5289550" cy="2007872"/>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290564" cy="2008257"/>
                    </a:xfrm>
                    <a:prstGeom prst="rect">
                      <a:avLst/>
                    </a:prstGeom>
                    <a:noFill/>
                    <a:ln w="9525">
                      <a:noFill/>
                      <a:miter lim="800000"/>
                      <a:headEnd/>
                      <a:tailEnd/>
                    </a:ln>
                  </pic:spPr>
                </pic:pic>
              </a:graphicData>
            </a:graphic>
          </wp:inline>
        </w:drawing>
      </w:r>
      <w:r w:rsidR="00606215" w:rsidRPr="00606215">
        <w:rPr>
          <w:sz w:val="22"/>
          <w:szCs w:val="22"/>
        </w:rPr>
        <w:t xml:space="preserve">  </w:t>
      </w:r>
    </w:p>
    <w:p w:rsidR="0011314C" w:rsidRDefault="0011314C" w:rsidP="00823654">
      <w:pPr>
        <w:numPr>
          <w:ilvl w:val="0"/>
          <w:numId w:val="2"/>
        </w:numPr>
        <w:ind w:left="714" w:hanging="357"/>
        <w:jc w:val="both"/>
        <w:rPr>
          <w:sz w:val="22"/>
          <w:szCs w:val="22"/>
        </w:rPr>
      </w:pPr>
      <w:r>
        <w:rPr>
          <w:sz w:val="22"/>
          <w:szCs w:val="22"/>
        </w:rPr>
        <w:t>78.2</w:t>
      </w:r>
      <w:r w:rsidRPr="00E6409C">
        <w:rPr>
          <w:sz w:val="22"/>
          <w:szCs w:val="22"/>
        </w:rPr>
        <w:t xml:space="preserve">% of </w:t>
      </w:r>
      <w:r>
        <w:rPr>
          <w:sz w:val="22"/>
          <w:szCs w:val="22"/>
        </w:rPr>
        <w:t xml:space="preserve">individuals who identified themselves from a minority group were </w:t>
      </w:r>
      <w:r w:rsidRPr="00E6409C">
        <w:rPr>
          <w:sz w:val="22"/>
          <w:szCs w:val="22"/>
        </w:rPr>
        <w:t>engaged within professional roles remunerated on Agenda for Change Band 5 or above, compared to 5</w:t>
      </w:r>
      <w:r>
        <w:rPr>
          <w:sz w:val="22"/>
          <w:szCs w:val="22"/>
        </w:rPr>
        <w:t>7.1</w:t>
      </w:r>
      <w:r w:rsidRPr="00E6409C">
        <w:rPr>
          <w:sz w:val="22"/>
          <w:szCs w:val="22"/>
        </w:rPr>
        <w:t xml:space="preserve">% of people who </w:t>
      </w:r>
      <w:r>
        <w:rPr>
          <w:sz w:val="22"/>
          <w:szCs w:val="22"/>
        </w:rPr>
        <w:t xml:space="preserve">did not.  As shown in the chart below, the largest concentration of </w:t>
      </w:r>
      <w:r w:rsidR="00823654">
        <w:rPr>
          <w:sz w:val="22"/>
          <w:szCs w:val="22"/>
        </w:rPr>
        <w:t xml:space="preserve">employees </w:t>
      </w:r>
      <w:r>
        <w:rPr>
          <w:sz w:val="22"/>
          <w:szCs w:val="22"/>
        </w:rPr>
        <w:t xml:space="preserve">were remunerated on Agenda for Change Band 5 </w:t>
      </w:r>
      <w:r w:rsidR="00823654">
        <w:rPr>
          <w:sz w:val="22"/>
          <w:szCs w:val="22"/>
        </w:rPr>
        <w:t xml:space="preserve">and the </w:t>
      </w:r>
      <w:r>
        <w:rPr>
          <w:sz w:val="22"/>
          <w:szCs w:val="22"/>
        </w:rPr>
        <w:t>Medical &amp; Dental pay grades.</w:t>
      </w:r>
      <w:r w:rsidRPr="00E6409C">
        <w:rPr>
          <w:sz w:val="22"/>
          <w:szCs w:val="22"/>
        </w:rPr>
        <w:t xml:space="preserve"> </w:t>
      </w:r>
    </w:p>
    <w:p w:rsidR="00823654" w:rsidRPr="00E6409C" w:rsidRDefault="00823654" w:rsidP="00823654">
      <w:pPr>
        <w:ind w:left="357"/>
        <w:jc w:val="both"/>
        <w:rPr>
          <w:sz w:val="22"/>
          <w:szCs w:val="22"/>
        </w:rPr>
      </w:pPr>
    </w:p>
    <w:p w:rsidR="00606215" w:rsidRPr="00507515" w:rsidRDefault="0011314C" w:rsidP="0011314C">
      <w:pPr>
        <w:spacing w:after="200" w:line="276" w:lineRule="auto"/>
        <w:jc w:val="right"/>
        <w:rPr>
          <w:sz w:val="22"/>
          <w:szCs w:val="22"/>
        </w:rPr>
      </w:pPr>
      <w:r>
        <w:rPr>
          <w:noProof/>
          <w:sz w:val="22"/>
          <w:szCs w:val="22"/>
          <w:lang w:eastAsia="en-GB"/>
        </w:rPr>
        <w:drawing>
          <wp:inline distT="0" distB="0" distL="0" distR="0">
            <wp:extent cx="5236658" cy="2008414"/>
            <wp:effectExtent l="19050" t="0" r="209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236249" cy="2008257"/>
                    </a:xfrm>
                    <a:prstGeom prst="rect">
                      <a:avLst/>
                    </a:prstGeom>
                    <a:noFill/>
                    <a:ln w="9525">
                      <a:noFill/>
                      <a:miter lim="800000"/>
                      <a:headEnd/>
                      <a:tailEnd/>
                    </a:ln>
                  </pic:spPr>
                </pic:pic>
              </a:graphicData>
            </a:graphic>
          </wp:inline>
        </w:drawing>
      </w:r>
    </w:p>
    <w:p w:rsidR="00D57806" w:rsidRDefault="00D57806">
      <w:pPr>
        <w:rPr>
          <w:sz w:val="22"/>
          <w:szCs w:val="22"/>
        </w:rPr>
      </w:pPr>
    </w:p>
    <w:p w:rsidR="00BF60FF" w:rsidRDefault="00BF60FF">
      <w:pPr>
        <w:rPr>
          <w:sz w:val="22"/>
          <w:szCs w:val="22"/>
        </w:rPr>
      </w:pPr>
    </w:p>
    <w:p w:rsidR="000F1C6E" w:rsidRPr="000F1C6E" w:rsidRDefault="000F1C6E">
      <w:pPr>
        <w:rPr>
          <w:sz w:val="22"/>
          <w:szCs w:val="22"/>
          <w:u w:val="single"/>
        </w:rPr>
      </w:pPr>
      <w:r w:rsidRPr="000F1C6E">
        <w:rPr>
          <w:sz w:val="22"/>
          <w:szCs w:val="22"/>
          <w:u w:val="single"/>
        </w:rPr>
        <w:t>Conclusion</w:t>
      </w:r>
    </w:p>
    <w:p w:rsidR="000F1C6E" w:rsidRDefault="000F1C6E" w:rsidP="000F1C6E">
      <w:pPr>
        <w:jc w:val="both"/>
        <w:rPr>
          <w:sz w:val="22"/>
          <w:szCs w:val="22"/>
        </w:rPr>
      </w:pPr>
    </w:p>
    <w:p w:rsidR="007427D9" w:rsidRDefault="007442EE" w:rsidP="000F1C6E">
      <w:pPr>
        <w:jc w:val="both"/>
        <w:rPr>
          <w:sz w:val="22"/>
          <w:szCs w:val="22"/>
        </w:rPr>
      </w:pPr>
      <w:r>
        <w:rPr>
          <w:sz w:val="22"/>
          <w:szCs w:val="22"/>
        </w:rPr>
        <w:t xml:space="preserve">Workforce Policies and Procedures are agreed </w:t>
      </w:r>
      <w:r w:rsidR="00BB30AD">
        <w:rPr>
          <w:sz w:val="22"/>
          <w:szCs w:val="22"/>
        </w:rPr>
        <w:t xml:space="preserve">nationally and </w:t>
      </w:r>
      <w:r>
        <w:rPr>
          <w:sz w:val="22"/>
          <w:szCs w:val="22"/>
        </w:rPr>
        <w:t>in partnership with Trade Unions and Professional Organisations.  Their implementation ensures that any pay gaps highlighted in this re</w:t>
      </w:r>
      <w:r w:rsidR="007427D9">
        <w:rPr>
          <w:sz w:val="22"/>
          <w:szCs w:val="22"/>
        </w:rPr>
        <w:t>port are</w:t>
      </w:r>
      <w:r>
        <w:rPr>
          <w:sz w:val="22"/>
          <w:szCs w:val="22"/>
        </w:rPr>
        <w:t xml:space="preserve"> not linked to an employee’s Protected Characteristic status, rather they are explained by other factors such as improvement in the capture of Protected Characteristic information within the recruitment process or by occupational </w:t>
      </w:r>
      <w:r w:rsidR="00823654">
        <w:rPr>
          <w:sz w:val="22"/>
          <w:szCs w:val="22"/>
        </w:rPr>
        <w:t>(</w:t>
      </w:r>
      <w:r>
        <w:rPr>
          <w:sz w:val="22"/>
          <w:szCs w:val="22"/>
        </w:rPr>
        <w:t>gender</w:t>
      </w:r>
      <w:r w:rsidR="00823654">
        <w:rPr>
          <w:sz w:val="22"/>
          <w:szCs w:val="22"/>
        </w:rPr>
        <w:t>)</w:t>
      </w:r>
      <w:r>
        <w:rPr>
          <w:sz w:val="22"/>
          <w:szCs w:val="22"/>
        </w:rPr>
        <w:t xml:space="preserve"> segregation, particularly </w:t>
      </w:r>
      <w:r w:rsidR="00C52174">
        <w:rPr>
          <w:sz w:val="22"/>
          <w:szCs w:val="22"/>
        </w:rPr>
        <w:t>how the higher prevalen</w:t>
      </w:r>
      <w:r w:rsidR="00BB30AD">
        <w:rPr>
          <w:sz w:val="22"/>
          <w:szCs w:val="22"/>
        </w:rPr>
        <w:t xml:space="preserve">ce of male employees within non Agenda for Change pay rates </w:t>
      </w:r>
      <w:r w:rsidR="00C52174">
        <w:rPr>
          <w:sz w:val="22"/>
          <w:szCs w:val="22"/>
        </w:rPr>
        <w:t>has had the impact of increase the average hourly rate of pay for male employees.</w:t>
      </w:r>
      <w:r>
        <w:rPr>
          <w:sz w:val="22"/>
          <w:szCs w:val="22"/>
        </w:rPr>
        <w:t xml:space="preserve"> </w:t>
      </w:r>
    </w:p>
    <w:p w:rsidR="007427D9" w:rsidRDefault="007427D9" w:rsidP="000F1C6E">
      <w:pPr>
        <w:jc w:val="both"/>
        <w:rPr>
          <w:sz w:val="22"/>
          <w:szCs w:val="22"/>
        </w:rPr>
      </w:pPr>
    </w:p>
    <w:p w:rsidR="007442EE" w:rsidRDefault="007442EE" w:rsidP="000F1C6E">
      <w:pPr>
        <w:jc w:val="both"/>
        <w:rPr>
          <w:sz w:val="22"/>
          <w:szCs w:val="22"/>
        </w:rPr>
      </w:pPr>
      <w:r>
        <w:rPr>
          <w:sz w:val="22"/>
          <w:szCs w:val="22"/>
        </w:rPr>
        <w:t xml:space="preserve">To ensure </w:t>
      </w:r>
      <w:r w:rsidR="00C52174">
        <w:rPr>
          <w:sz w:val="22"/>
          <w:szCs w:val="22"/>
        </w:rPr>
        <w:t xml:space="preserve">continued compliance with the Equality Act, </w:t>
      </w:r>
      <w:r>
        <w:rPr>
          <w:sz w:val="22"/>
          <w:szCs w:val="22"/>
        </w:rPr>
        <w:t xml:space="preserve">Workforce Policies and Procedures </w:t>
      </w:r>
      <w:r w:rsidR="00C52174">
        <w:rPr>
          <w:sz w:val="22"/>
          <w:szCs w:val="22"/>
        </w:rPr>
        <w:t xml:space="preserve">will </w:t>
      </w:r>
      <w:r>
        <w:rPr>
          <w:sz w:val="22"/>
          <w:szCs w:val="22"/>
        </w:rPr>
        <w:t xml:space="preserve">continue to be subject </w:t>
      </w:r>
      <w:r w:rsidR="00823654">
        <w:rPr>
          <w:sz w:val="22"/>
          <w:szCs w:val="22"/>
        </w:rPr>
        <w:t xml:space="preserve">to </w:t>
      </w:r>
      <w:r w:rsidR="0078251E">
        <w:rPr>
          <w:sz w:val="22"/>
          <w:szCs w:val="22"/>
        </w:rPr>
        <w:t>e</w:t>
      </w:r>
      <w:r w:rsidR="00823654">
        <w:rPr>
          <w:sz w:val="22"/>
          <w:szCs w:val="22"/>
        </w:rPr>
        <w:t>quality impact assessments, and the recruitment and on-boarding processes relating to capturing information on a person’s disability</w:t>
      </w:r>
      <w:r w:rsidR="007427D9">
        <w:rPr>
          <w:sz w:val="22"/>
          <w:szCs w:val="22"/>
        </w:rPr>
        <w:t xml:space="preserve"> will continue to be reviewed</w:t>
      </w:r>
      <w:r w:rsidR="00823654">
        <w:rPr>
          <w:sz w:val="22"/>
          <w:szCs w:val="22"/>
        </w:rPr>
        <w:t xml:space="preserve">.  </w:t>
      </w:r>
      <w:r>
        <w:rPr>
          <w:sz w:val="22"/>
          <w:szCs w:val="22"/>
        </w:rPr>
        <w:t xml:space="preserve">NHS Fife will also monitor </w:t>
      </w:r>
      <w:r w:rsidR="00C52174">
        <w:rPr>
          <w:sz w:val="22"/>
          <w:szCs w:val="22"/>
        </w:rPr>
        <w:t xml:space="preserve">its </w:t>
      </w:r>
      <w:r w:rsidR="00E6329C">
        <w:rPr>
          <w:sz w:val="22"/>
          <w:szCs w:val="22"/>
        </w:rPr>
        <w:t xml:space="preserve">published Equal Pay Gap information against </w:t>
      </w:r>
      <w:r w:rsidR="00E6329C">
        <w:rPr>
          <w:sz w:val="22"/>
          <w:szCs w:val="22"/>
        </w:rPr>
        <w:lastRenderedPageBreak/>
        <w:t xml:space="preserve">other NHS Scotland organisations to ensure </w:t>
      </w:r>
      <w:r w:rsidR="00C52174">
        <w:rPr>
          <w:sz w:val="22"/>
          <w:szCs w:val="22"/>
        </w:rPr>
        <w:t xml:space="preserve">there is no apparent deviation from </w:t>
      </w:r>
      <w:r w:rsidR="00E6329C">
        <w:rPr>
          <w:sz w:val="22"/>
          <w:szCs w:val="22"/>
        </w:rPr>
        <w:t>NHS Scotland averages.</w:t>
      </w:r>
    </w:p>
    <w:p w:rsidR="000F1C6E" w:rsidRDefault="000F1C6E">
      <w:pPr>
        <w:rPr>
          <w:sz w:val="22"/>
          <w:szCs w:val="22"/>
        </w:rPr>
        <w:sectPr w:rsidR="000F1C6E" w:rsidSect="00103769">
          <w:headerReference w:type="default" r:id="rId16"/>
          <w:pgSz w:w="11906" w:h="16838"/>
          <w:pgMar w:top="1440" w:right="1440" w:bottom="1440" w:left="1440" w:header="708" w:footer="708" w:gutter="0"/>
          <w:cols w:space="708"/>
          <w:docGrid w:linePitch="360"/>
        </w:sectPr>
      </w:pPr>
    </w:p>
    <w:tbl>
      <w:tblPr>
        <w:tblW w:w="4000" w:type="dxa"/>
        <w:tblInd w:w="95" w:type="dxa"/>
        <w:tblLook w:val="04A0"/>
      </w:tblPr>
      <w:tblGrid>
        <w:gridCol w:w="4000"/>
      </w:tblGrid>
      <w:tr w:rsidR="00B44DAF" w:rsidRPr="00B44DAF" w:rsidTr="00B44DAF">
        <w:trPr>
          <w:trHeight w:val="264"/>
        </w:trPr>
        <w:tc>
          <w:tcPr>
            <w:tcW w:w="4000" w:type="dxa"/>
            <w:tcBorders>
              <w:top w:val="nil"/>
              <w:left w:val="nil"/>
              <w:bottom w:val="nil"/>
              <w:right w:val="nil"/>
            </w:tcBorders>
            <w:shd w:val="clear" w:color="000000" w:fill="FFFFFF"/>
            <w:noWrap/>
            <w:vAlign w:val="bottom"/>
            <w:hideMark/>
          </w:tcPr>
          <w:p w:rsidR="00B44DAF" w:rsidRPr="00B44DAF" w:rsidRDefault="00B44DAF" w:rsidP="00B44DAF">
            <w:pPr>
              <w:rPr>
                <w:rFonts w:cs="Arial"/>
                <w:sz w:val="20"/>
                <w:lang w:eastAsia="en-GB"/>
              </w:rPr>
            </w:pPr>
            <w:r w:rsidRPr="00B44DAF">
              <w:rPr>
                <w:rFonts w:cs="Arial"/>
                <w:sz w:val="20"/>
                <w:lang w:eastAsia="en-GB"/>
              </w:rPr>
              <w:lastRenderedPageBreak/>
              <w:t>Reporting Category:  Agenda for Change</w:t>
            </w:r>
          </w:p>
        </w:tc>
      </w:tr>
      <w:tr w:rsidR="00B44DAF" w:rsidRPr="00B44DAF" w:rsidTr="00B44DAF">
        <w:trPr>
          <w:trHeight w:val="264"/>
        </w:trPr>
        <w:tc>
          <w:tcPr>
            <w:tcW w:w="4000" w:type="dxa"/>
            <w:tcBorders>
              <w:top w:val="nil"/>
              <w:left w:val="nil"/>
              <w:bottom w:val="nil"/>
              <w:right w:val="nil"/>
            </w:tcBorders>
            <w:shd w:val="clear" w:color="000000" w:fill="FFFFFF"/>
            <w:noWrap/>
            <w:vAlign w:val="bottom"/>
            <w:hideMark/>
          </w:tcPr>
          <w:p w:rsidR="00B44DAF" w:rsidRPr="00B44DAF" w:rsidRDefault="00B44DAF" w:rsidP="00B44DAF">
            <w:pPr>
              <w:rPr>
                <w:rFonts w:cs="Arial"/>
                <w:b/>
                <w:bCs/>
                <w:sz w:val="20"/>
                <w:lang w:eastAsia="en-GB"/>
              </w:rPr>
            </w:pPr>
            <w:r w:rsidRPr="00B44DAF">
              <w:rPr>
                <w:rFonts w:cs="Arial"/>
                <w:b/>
                <w:bCs/>
                <w:sz w:val="20"/>
                <w:lang w:eastAsia="en-GB"/>
              </w:rPr>
              <w:t>Gender Equal Pay Audit</w:t>
            </w:r>
          </w:p>
        </w:tc>
      </w:tr>
    </w:tbl>
    <w:p w:rsidR="00B44DAF" w:rsidRDefault="00B44DAF" w:rsidP="00D57806"/>
    <w:p w:rsidR="00B44DAF" w:rsidRDefault="00B44DAF" w:rsidP="00D57806"/>
    <w:p w:rsidR="00B44DAF" w:rsidRDefault="00B44DAF" w:rsidP="00D57806"/>
    <w:tbl>
      <w:tblPr>
        <w:tblW w:w="5000" w:type="pct"/>
        <w:tblLook w:val="04A0"/>
      </w:tblPr>
      <w:tblGrid>
        <w:gridCol w:w="3510"/>
        <w:gridCol w:w="1268"/>
        <w:gridCol w:w="907"/>
        <w:gridCol w:w="907"/>
        <w:gridCol w:w="907"/>
        <w:gridCol w:w="907"/>
        <w:gridCol w:w="907"/>
        <w:gridCol w:w="907"/>
        <w:gridCol w:w="1074"/>
        <w:gridCol w:w="1074"/>
        <w:gridCol w:w="907"/>
        <w:gridCol w:w="899"/>
      </w:tblGrid>
      <w:tr w:rsidR="00B44DAF" w:rsidRPr="00B44DAF" w:rsidTr="005F4B47">
        <w:trPr>
          <w:trHeight w:val="264"/>
        </w:trPr>
        <w:tc>
          <w:tcPr>
            <w:tcW w:w="1238" w:type="pct"/>
            <w:tcBorders>
              <w:top w:val="nil"/>
              <w:left w:val="nil"/>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p>
        </w:tc>
        <w:tc>
          <w:tcPr>
            <w:tcW w:w="447" w:type="pct"/>
            <w:tcBorders>
              <w:top w:val="nil"/>
              <w:left w:val="nil"/>
              <w:bottom w:val="nil"/>
              <w:right w:val="nil"/>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960" w:type="pct"/>
            <w:gridSpan w:val="3"/>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Female</w:t>
            </w:r>
          </w:p>
        </w:tc>
        <w:tc>
          <w:tcPr>
            <w:tcW w:w="960" w:type="pct"/>
            <w:gridSpan w:val="3"/>
            <w:tcBorders>
              <w:top w:val="single" w:sz="4" w:space="0" w:color="auto"/>
              <w:left w:val="nil"/>
              <w:bottom w:val="single" w:sz="4" w:space="0" w:color="auto"/>
              <w:right w:val="single" w:sz="4" w:space="0" w:color="000000"/>
            </w:tcBorders>
            <w:shd w:val="clear" w:color="000000" w:fill="DBE5F1"/>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Male</w:t>
            </w:r>
          </w:p>
        </w:tc>
        <w:tc>
          <w:tcPr>
            <w:tcW w:w="379" w:type="pct"/>
            <w:tcBorders>
              <w:top w:val="nil"/>
              <w:left w:val="nil"/>
              <w:bottom w:val="nil"/>
              <w:right w:val="nil"/>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79" w:type="pct"/>
            <w:tcBorders>
              <w:top w:val="nil"/>
              <w:left w:val="nil"/>
              <w:bottom w:val="nil"/>
              <w:right w:val="nil"/>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nil"/>
              <w:right w:val="nil"/>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17" w:type="pct"/>
            <w:tcBorders>
              <w:top w:val="nil"/>
              <w:left w:val="nil"/>
              <w:bottom w:val="nil"/>
              <w:right w:val="nil"/>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r>
      <w:tr w:rsidR="00B44DAF" w:rsidRPr="00B44DAF" w:rsidTr="005F4B47">
        <w:trPr>
          <w:trHeight w:val="804"/>
        </w:trPr>
        <w:tc>
          <w:tcPr>
            <w:tcW w:w="1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Job Family</w:t>
            </w:r>
          </w:p>
        </w:tc>
        <w:tc>
          <w:tcPr>
            <w:tcW w:w="447" w:type="pct"/>
            <w:tcBorders>
              <w:top w:val="single" w:sz="4" w:space="0" w:color="auto"/>
              <w:left w:val="nil"/>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AFC Band</w:t>
            </w:r>
          </w:p>
        </w:tc>
        <w:tc>
          <w:tcPr>
            <w:tcW w:w="320" w:type="pct"/>
            <w:tcBorders>
              <w:top w:val="nil"/>
              <w:left w:val="nil"/>
              <w:bottom w:val="nil"/>
              <w:right w:val="single" w:sz="4" w:space="0" w:color="auto"/>
            </w:tcBorders>
            <w:shd w:val="clear" w:color="000000" w:fill="DBE5F1"/>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Count</w:t>
            </w:r>
          </w:p>
        </w:tc>
        <w:tc>
          <w:tcPr>
            <w:tcW w:w="320" w:type="pct"/>
            <w:tcBorders>
              <w:top w:val="nil"/>
              <w:left w:val="nil"/>
              <w:bottom w:val="nil"/>
              <w:right w:val="single" w:sz="4" w:space="0" w:color="auto"/>
            </w:tcBorders>
            <w:shd w:val="clear" w:color="000000" w:fill="DBE5F1"/>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Avg Basic Hourly Rate</w:t>
            </w:r>
          </w:p>
        </w:tc>
        <w:tc>
          <w:tcPr>
            <w:tcW w:w="320" w:type="pct"/>
            <w:tcBorders>
              <w:top w:val="nil"/>
              <w:left w:val="nil"/>
              <w:bottom w:val="nil"/>
              <w:right w:val="single" w:sz="4" w:space="0" w:color="auto"/>
            </w:tcBorders>
            <w:shd w:val="clear" w:color="000000" w:fill="DBE5F1"/>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 of Staff Group</w:t>
            </w:r>
          </w:p>
        </w:tc>
        <w:tc>
          <w:tcPr>
            <w:tcW w:w="320" w:type="pct"/>
            <w:tcBorders>
              <w:top w:val="nil"/>
              <w:left w:val="nil"/>
              <w:bottom w:val="nil"/>
              <w:right w:val="single" w:sz="4" w:space="0" w:color="auto"/>
            </w:tcBorders>
            <w:shd w:val="clear" w:color="000000" w:fill="DBE5F1"/>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Count</w:t>
            </w:r>
          </w:p>
        </w:tc>
        <w:tc>
          <w:tcPr>
            <w:tcW w:w="320" w:type="pct"/>
            <w:tcBorders>
              <w:top w:val="nil"/>
              <w:left w:val="nil"/>
              <w:bottom w:val="nil"/>
              <w:right w:val="single" w:sz="4" w:space="0" w:color="auto"/>
            </w:tcBorders>
            <w:shd w:val="clear" w:color="000000" w:fill="DBE5F1"/>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Average of Basic Hourly Rate</w:t>
            </w:r>
          </w:p>
        </w:tc>
        <w:tc>
          <w:tcPr>
            <w:tcW w:w="320" w:type="pct"/>
            <w:tcBorders>
              <w:top w:val="nil"/>
              <w:left w:val="nil"/>
              <w:bottom w:val="nil"/>
              <w:right w:val="single" w:sz="4" w:space="0" w:color="auto"/>
            </w:tcBorders>
            <w:shd w:val="clear" w:color="000000" w:fill="DBE5F1"/>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 of Staff Group</w:t>
            </w:r>
          </w:p>
        </w:tc>
        <w:tc>
          <w:tcPr>
            <w:tcW w:w="379" w:type="pct"/>
            <w:tcBorders>
              <w:top w:val="single" w:sz="4" w:space="0" w:color="auto"/>
              <w:left w:val="nil"/>
              <w:bottom w:val="nil"/>
              <w:right w:val="single" w:sz="4" w:space="0" w:color="auto"/>
            </w:tcBorders>
            <w:shd w:val="clear" w:color="000000" w:fill="FFFFFF"/>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Monetary Variance Male to Female</w:t>
            </w:r>
          </w:p>
        </w:tc>
        <w:tc>
          <w:tcPr>
            <w:tcW w:w="379" w:type="pct"/>
            <w:tcBorders>
              <w:top w:val="single" w:sz="4" w:space="0" w:color="auto"/>
              <w:left w:val="nil"/>
              <w:bottom w:val="nil"/>
              <w:right w:val="single" w:sz="4" w:space="0" w:color="auto"/>
            </w:tcBorders>
            <w:shd w:val="clear" w:color="000000" w:fill="FFFFFF"/>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Monetary Variance Male to Female %</w:t>
            </w:r>
          </w:p>
        </w:tc>
        <w:tc>
          <w:tcPr>
            <w:tcW w:w="320" w:type="pct"/>
            <w:tcBorders>
              <w:top w:val="single" w:sz="4" w:space="0" w:color="auto"/>
              <w:left w:val="nil"/>
              <w:bottom w:val="nil"/>
              <w:right w:val="single" w:sz="4" w:space="0" w:color="auto"/>
            </w:tcBorders>
            <w:shd w:val="clear" w:color="000000" w:fill="FFFFFF"/>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Total Count</w:t>
            </w:r>
          </w:p>
        </w:tc>
        <w:tc>
          <w:tcPr>
            <w:tcW w:w="317" w:type="pct"/>
            <w:tcBorders>
              <w:top w:val="single" w:sz="4" w:space="0" w:color="auto"/>
              <w:left w:val="nil"/>
              <w:bottom w:val="nil"/>
              <w:right w:val="single" w:sz="4" w:space="0" w:color="auto"/>
            </w:tcBorders>
            <w:shd w:val="clear" w:color="000000" w:fill="FFFFFF"/>
            <w:vAlign w:val="center"/>
            <w:hideMark/>
          </w:tcPr>
          <w:p w:rsidR="00B44DAF" w:rsidRPr="00B44DAF" w:rsidRDefault="00B44DAF" w:rsidP="00B44DAF">
            <w:pPr>
              <w:jc w:val="center"/>
              <w:rPr>
                <w:rFonts w:asciiTheme="minorHAnsi" w:hAnsiTheme="minorHAnsi" w:cstheme="minorHAnsi"/>
                <w:b/>
                <w:bCs/>
                <w:sz w:val="18"/>
                <w:szCs w:val="18"/>
                <w:lang w:eastAsia="en-GB"/>
              </w:rPr>
            </w:pPr>
            <w:r w:rsidRPr="00B44DAF">
              <w:rPr>
                <w:rFonts w:asciiTheme="minorHAnsi" w:hAnsiTheme="minorHAnsi" w:cstheme="minorHAnsi"/>
                <w:b/>
                <w:bCs/>
                <w:sz w:val="18"/>
                <w:szCs w:val="18"/>
                <w:lang w:eastAsia="en-GB"/>
              </w:rPr>
              <w:t>Average of Basic Hourly Rate</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ADMINISTRATIVE SERVICES</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2</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310</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13.63</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87.08%</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46</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13.61</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12.92%</w:t>
            </w:r>
          </w:p>
        </w:tc>
        <w:tc>
          <w:tcPr>
            <w:tcW w:w="379" w:type="pct"/>
            <w:tcBorders>
              <w:top w:val="single" w:sz="4" w:space="0" w:color="auto"/>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0.02 </w:t>
            </w:r>
          </w:p>
        </w:tc>
        <w:tc>
          <w:tcPr>
            <w:tcW w:w="379" w:type="pct"/>
            <w:tcBorders>
              <w:top w:val="single" w:sz="4" w:space="0" w:color="auto"/>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-0.18%</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356</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13.63</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362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14.85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92.35%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14.75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7.65%</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0.11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-0.71%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392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14.85</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401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16.08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93.69%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15.78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6.31%</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0.30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428</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16.06</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128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18.85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74.42%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18.49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25.58%</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0.36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172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18.76</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23.02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66.96%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23.33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33.04%</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0.31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112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23.12</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26.83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67.74%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26.69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32.26%</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0.14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-0.53%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93</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26.79</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8A</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32.13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60.53%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31.99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39.47%</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0.14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-0.45%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38</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32.08</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8B</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37.65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69.23%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37.44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30.77%</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0.21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-0.57%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26</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37.58</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8C</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44.50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81.82%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18.18%</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44.88</w:t>
            </w:r>
          </w:p>
        </w:tc>
      </w:tr>
      <w:tr w:rsidR="00B44DAF" w:rsidRPr="00B44DAF" w:rsidTr="005F4B47">
        <w:trPr>
          <w:trHeight w:val="264"/>
        </w:trPr>
        <w:tc>
          <w:tcPr>
            <w:tcW w:w="1238" w:type="pct"/>
            <w:tcBorders>
              <w:top w:val="nil"/>
              <w:left w:val="single" w:sz="4" w:space="0" w:color="auto"/>
              <w:bottom w:val="single" w:sz="4" w:space="0" w:color="auto"/>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8D</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51.96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75.00%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25.00%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51.87</w:t>
            </w:r>
          </w:p>
        </w:tc>
      </w:tr>
      <w:tr w:rsidR="00B44DAF" w:rsidRPr="00B44DAF" w:rsidTr="005F4B47">
        <w:trPr>
          <w:trHeight w:val="264"/>
        </w:trPr>
        <w:tc>
          <w:tcPr>
            <w:tcW w:w="1238"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ADMINISTRATIVE SERVICES (TOTAL)</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1382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17.20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85.20%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240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20.53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14.80%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       3.33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16.22%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1622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17.69</w:t>
            </w:r>
          </w:p>
        </w:tc>
      </w:tr>
      <w:tr w:rsidR="00B44DAF" w:rsidRPr="00B44DAF" w:rsidTr="005F4B47">
        <w:trPr>
          <w:trHeight w:val="264"/>
        </w:trPr>
        <w:tc>
          <w:tcPr>
            <w:tcW w:w="1238" w:type="pct"/>
            <w:tcBorders>
              <w:top w:val="nil"/>
              <w:left w:val="single" w:sz="4" w:space="0" w:color="auto"/>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ALLIED HEALTH PROFESSION</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13.51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85.71%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13.87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14.29%</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0.37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2.64%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13.56</w:t>
            </w:r>
          </w:p>
        </w:tc>
      </w:tr>
      <w:tr w:rsidR="00B44DAF" w:rsidRPr="00B44DAF" w:rsidTr="005F4B47">
        <w:trPr>
          <w:trHeight w:val="264"/>
        </w:trPr>
        <w:tc>
          <w:tcPr>
            <w:tcW w:w="1238" w:type="pct"/>
            <w:tcBorders>
              <w:top w:val="nil"/>
              <w:left w:val="single" w:sz="4" w:space="0" w:color="auto"/>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118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14.91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89.39%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14.95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10.61%</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0.04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0.29%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14.91</w:t>
            </w:r>
          </w:p>
        </w:tc>
      </w:tr>
      <w:tr w:rsidR="00B44DAF" w:rsidRPr="00B44DAF" w:rsidTr="005F4B47">
        <w:trPr>
          <w:trHeight w:val="264"/>
        </w:trPr>
        <w:tc>
          <w:tcPr>
            <w:tcW w:w="1238" w:type="pct"/>
            <w:tcBorders>
              <w:top w:val="nil"/>
              <w:left w:val="single" w:sz="4" w:space="0" w:color="auto"/>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15.93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91.94%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15.62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8.06%</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0.31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15.90</w:t>
            </w:r>
          </w:p>
        </w:tc>
      </w:tr>
      <w:tr w:rsidR="00B44DAF" w:rsidRPr="00B44DAF" w:rsidTr="005F4B47">
        <w:trPr>
          <w:trHeight w:val="264"/>
        </w:trPr>
        <w:tc>
          <w:tcPr>
            <w:tcW w:w="1238" w:type="pct"/>
            <w:tcBorders>
              <w:top w:val="nil"/>
              <w:left w:val="single" w:sz="4" w:space="0" w:color="auto"/>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17.21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76.34%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17.39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23.66%</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0.19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93</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17.25</w:t>
            </w:r>
          </w:p>
        </w:tc>
      </w:tr>
      <w:tr w:rsidR="00B44DAF" w:rsidRPr="00B44DAF" w:rsidTr="005F4B47">
        <w:trPr>
          <w:trHeight w:val="264"/>
        </w:trPr>
        <w:tc>
          <w:tcPr>
            <w:tcW w:w="1238" w:type="pct"/>
            <w:tcBorders>
              <w:top w:val="nil"/>
              <w:left w:val="single" w:sz="4" w:space="0" w:color="auto"/>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229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23.86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83.88%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22.99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16.12%</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0.87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273</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23.72</w:t>
            </w:r>
          </w:p>
        </w:tc>
      </w:tr>
      <w:tr w:rsidR="00B44DAF" w:rsidRPr="00B44DAF" w:rsidTr="005F4B47">
        <w:trPr>
          <w:trHeight w:val="264"/>
        </w:trPr>
        <w:tc>
          <w:tcPr>
            <w:tcW w:w="1238" w:type="pct"/>
            <w:tcBorders>
              <w:top w:val="nil"/>
              <w:left w:val="single" w:sz="4" w:space="0" w:color="auto"/>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206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28.20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89.18%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27.74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10.82%</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0.46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28.15</w:t>
            </w:r>
          </w:p>
        </w:tc>
      </w:tr>
      <w:tr w:rsidR="00B44DAF" w:rsidRPr="00B44DAF" w:rsidTr="005F4B47">
        <w:trPr>
          <w:trHeight w:val="264"/>
        </w:trPr>
        <w:tc>
          <w:tcPr>
            <w:tcW w:w="1238" w:type="pct"/>
            <w:tcBorders>
              <w:top w:val="nil"/>
              <w:left w:val="single" w:sz="4" w:space="0" w:color="auto"/>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8A</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32.83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85.19%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32.09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14.81%</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0.74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32.72</w:t>
            </w:r>
          </w:p>
        </w:tc>
      </w:tr>
      <w:tr w:rsidR="00B44DAF" w:rsidRPr="00B44DAF" w:rsidTr="005F4B47">
        <w:trPr>
          <w:trHeight w:val="264"/>
        </w:trPr>
        <w:tc>
          <w:tcPr>
            <w:tcW w:w="1238" w:type="pct"/>
            <w:tcBorders>
              <w:top w:val="nil"/>
              <w:left w:val="single" w:sz="4" w:space="0" w:color="auto"/>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8B</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37.65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66.67%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33.33%</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37.65</w:t>
            </w:r>
          </w:p>
        </w:tc>
      </w:tr>
      <w:tr w:rsidR="00B44DAF" w:rsidRPr="00B44DAF" w:rsidTr="005F4B47">
        <w:trPr>
          <w:trHeight w:val="264"/>
        </w:trPr>
        <w:tc>
          <w:tcPr>
            <w:tcW w:w="1238" w:type="pct"/>
            <w:tcBorders>
              <w:top w:val="nil"/>
              <w:left w:val="single" w:sz="4" w:space="0" w:color="auto"/>
              <w:bottom w:val="nil"/>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8C</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43.45</w:t>
            </w:r>
          </w:p>
        </w:tc>
      </w:tr>
      <w:tr w:rsidR="00B44DAF" w:rsidRPr="00B44DAF" w:rsidTr="005F4B47">
        <w:trPr>
          <w:trHeight w:val="264"/>
        </w:trPr>
        <w:tc>
          <w:tcPr>
            <w:tcW w:w="1238"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63.67</w:t>
            </w:r>
          </w:p>
        </w:tc>
      </w:tr>
      <w:tr w:rsidR="00B44DAF" w:rsidRPr="00B44DAF" w:rsidTr="005F4B47">
        <w:trPr>
          <w:trHeight w:val="264"/>
        </w:trPr>
        <w:tc>
          <w:tcPr>
            <w:tcW w:w="1238"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ALLIED HEALTH PROFESSION (TOTAL)</w:t>
            </w:r>
          </w:p>
        </w:tc>
        <w:tc>
          <w:tcPr>
            <w:tcW w:w="44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742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22.99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85.88%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122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22.71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14.12%</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0.28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-1.23%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864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22.95</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DENTAL SUPPORT</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lastRenderedPageBreak/>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14.92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14.92</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15.97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97.30%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15.99</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19.61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19.61</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23.90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23.90</w:t>
            </w:r>
          </w:p>
        </w:tc>
      </w:tr>
      <w:tr w:rsidR="00B44DAF" w:rsidRPr="00B44DAF" w:rsidTr="005F4B47">
        <w:trPr>
          <w:trHeight w:val="264"/>
        </w:trPr>
        <w:tc>
          <w:tcPr>
            <w:tcW w:w="1238" w:type="pct"/>
            <w:tcBorders>
              <w:top w:val="nil"/>
              <w:left w:val="single" w:sz="4" w:space="0" w:color="auto"/>
              <w:bottom w:val="single" w:sz="4" w:space="0" w:color="auto"/>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nil"/>
              <w:bottom w:val="nil"/>
              <w:right w:val="nil"/>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DENTAL SUPPORT (TOTAL)</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78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18.08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98.73%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1.27%</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79</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18.06</w:t>
            </w:r>
          </w:p>
        </w:tc>
      </w:tr>
      <w:tr w:rsidR="00B44DAF" w:rsidRPr="00B44DAF" w:rsidTr="005F4B47">
        <w:trPr>
          <w:trHeight w:val="264"/>
        </w:trPr>
        <w:tc>
          <w:tcPr>
            <w:tcW w:w="1238" w:type="pct"/>
            <w:tcBorders>
              <w:top w:val="single" w:sz="4" w:space="0" w:color="auto"/>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HEALTHCARE SCIENCES</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14.93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70.83%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15.03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29.17%</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0.10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0.65%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48</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14.96</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16.28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90.91%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9.09%</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16.17</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19.27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68.18%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17.85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31.82%</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1.42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-7.94%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18.82</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24.75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77.36%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25.21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22.64%</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0.46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53</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24.85</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28.26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76.00%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28.89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24.00%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0.62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2.16%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25</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28.41</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8A</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32.65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83.33%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16.67%</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32.61</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8B</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38.50</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8C</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single" w:sz="4" w:space="0" w:color="auto"/>
              <w:bottom w:val="single" w:sz="4" w:space="0" w:color="auto"/>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8D</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nil"/>
              <w:bottom w:val="nil"/>
              <w:right w:val="nil"/>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HEALTHCARE SCIENCES (TOTAL)</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135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22.69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75.00%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45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22.37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25.00%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0.32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-1.44%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180</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22.61</w:t>
            </w:r>
          </w:p>
        </w:tc>
      </w:tr>
      <w:tr w:rsidR="00B44DAF" w:rsidRPr="00B44DAF" w:rsidTr="005F4B47">
        <w:trPr>
          <w:trHeight w:val="264"/>
        </w:trPr>
        <w:tc>
          <w:tcPr>
            <w:tcW w:w="1238" w:type="pct"/>
            <w:tcBorders>
              <w:top w:val="single" w:sz="4" w:space="0" w:color="auto"/>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MEDICAL SUPPORT</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18.34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80.95%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19.07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19.05%</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0.73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3.82%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18.48</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22.22%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24.69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77.78%</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24.81</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27.96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83.33%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16.67%</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28.20</w:t>
            </w:r>
          </w:p>
        </w:tc>
      </w:tr>
      <w:tr w:rsidR="00B44DAF" w:rsidRPr="00B44DAF" w:rsidTr="005F4B47">
        <w:trPr>
          <w:trHeight w:val="264"/>
        </w:trPr>
        <w:tc>
          <w:tcPr>
            <w:tcW w:w="1238" w:type="pct"/>
            <w:tcBorders>
              <w:top w:val="nil"/>
              <w:left w:val="single" w:sz="4" w:space="0" w:color="auto"/>
              <w:bottom w:val="single" w:sz="4" w:space="0" w:color="auto"/>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8B</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nil"/>
              <w:bottom w:val="nil"/>
              <w:right w:val="nil"/>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MEDICAL SUPPORT (TOTAL)</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46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19.78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73.02%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21.76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26.98%</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       1.98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9.08%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63</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20.31</w:t>
            </w:r>
          </w:p>
        </w:tc>
      </w:tr>
      <w:tr w:rsidR="00B44DAF" w:rsidRPr="00B44DAF" w:rsidTr="005F4B47">
        <w:trPr>
          <w:trHeight w:val="264"/>
        </w:trPr>
        <w:tc>
          <w:tcPr>
            <w:tcW w:w="1238" w:type="pct"/>
            <w:tcBorders>
              <w:top w:val="single" w:sz="4" w:space="0" w:color="auto"/>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NURSING/MIDWIFERY</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13.62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91.69%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13.49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8.31%</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0.13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-0.93%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349</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13.61</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856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14.85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89.45%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14.88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10.55%</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0.02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0.16%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957</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14.86</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15.69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92.22%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15.56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7.78%</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0.12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-0.80%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180</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15.68</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1712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19.44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92.94%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19.50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7.06%</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0.06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0.29%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1842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19.45</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829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23.13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92.73%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23.51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7.27%</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0.38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894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23.16</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543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27.31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94.60%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27.46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5.40%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0.15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0.55%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574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27.32</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8A</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31.89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90.28%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32.93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9.72%</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1.05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3.17%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31.99</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lastRenderedPageBreak/>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8B</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37.20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83.87%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36.79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16.13%</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0.41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-1.11%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37.14</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8C</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66.67%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43.45</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single" w:sz="4" w:space="0" w:color="auto"/>
              <w:bottom w:val="single" w:sz="4" w:space="0" w:color="auto"/>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8D</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nil"/>
              <w:bottom w:val="nil"/>
              <w:right w:val="nil"/>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NURSING/MIDWIFERY (TOTAL)</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4505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19.96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92.18%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382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19.55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7.82%</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0.41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-2.10%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4887</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19.93</w:t>
            </w:r>
          </w:p>
        </w:tc>
      </w:tr>
      <w:tr w:rsidR="00B44DAF" w:rsidRPr="00B44DAF" w:rsidTr="005F4B47">
        <w:trPr>
          <w:trHeight w:val="264"/>
        </w:trPr>
        <w:tc>
          <w:tcPr>
            <w:tcW w:w="1238" w:type="pct"/>
            <w:tcBorders>
              <w:top w:val="single" w:sz="4" w:space="0" w:color="auto"/>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OTHER THERAPEUTIC</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13.58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76.47%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13.73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23.53%</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0.16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1.15%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13.61</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14.56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85.37%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14.48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14.63%</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0.08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-0.54%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14.55</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15.50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82.46%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15.21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17.54%</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0.29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57</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15.45</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18.56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83.02%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18.01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16.98%</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0.55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-3.04%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53</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18.47</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21.55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84.31%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22.72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15.69%</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1.17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5.16%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21.74</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27.33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86.81%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27.33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13.19%</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0.00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0.01%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27.33</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8A</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32.32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82.69%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32.21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17.31%</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0.11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-0.34%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32.30</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8B</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37.91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78.95%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37.65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21.05%</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0.26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-0.69%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57</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37.86</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8C</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45.02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81.82%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18.18%</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44.88</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8D</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52.92</w:t>
            </w:r>
          </w:p>
        </w:tc>
      </w:tr>
      <w:tr w:rsidR="00B44DAF" w:rsidRPr="00B44DAF" w:rsidTr="005F4B47">
        <w:trPr>
          <w:trHeight w:val="264"/>
        </w:trPr>
        <w:tc>
          <w:tcPr>
            <w:tcW w:w="1238" w:type="pct"/>
            <w:tcBorders>
              <w:top w:val="nil"/>
              <w:left w:val="single" w:sz="4" w:space="0" w:color="auto"/>
              <w:bottom w:val="single" w:sz="4" w:space="0" w:color="auto"/>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nil"/>
              <w:bottom w:val="nil"/>
              <w:right w:val="nil"/>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OTHER THERAPEUTIC (TOTAL)</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420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25.90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82.68%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88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26.30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17.32%</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       0.40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1.52%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508</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25.97</w:t>
            </w:r>
          </w:p>
        </w:tc>
      </w:tr>
      <w:tr w:rsidR="00B44DAF" w:rsidRPr="00B44DAF" w:rsidTr="005F4B47">
        <w:trPr>
          <w:trHeight w:val="264"/>
        </w:trPr>
        <w:tc>
          <w:tcPr>
            <w:tcW w:w="1238" w:type="pct"/>
            <w:tcBorders>
              <w:top w:val="single" w:sz="4" w:space="0" w:color="auto"/>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PERSONAL AND SOCIAL CARE</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15.03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15.03</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18.68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93.33%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6.67%</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18.81</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23.12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86.67%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13.33%</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15</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23.16</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27.90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27.74</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8A</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33.15</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8B</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single" w:sz="4" w:space="0" w:color="auto"/>
              <w:bottom w:val="single" w:sz="4" w:space="0" w:color="auto"/>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8D</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r>
      <w:tr w:rsidR="00B44DAF" w:rsidRPr="00B44DAF" w:rsidTr="005F4B47">
        <w:trPr>
          <w:trHeight w:val="264"/>
        </w:trPr>
        <w:tc>
          <w:tcPr>
            <w:tcW w:w="1238" w:type="pct"/>
            <w:tcBorders>
              <w:top w:val="nil"/>
              <w:left w:val="nil"/>
              <w:bottom w:val="nil"/>
              <w:right w:val="nil"/>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PERSONAL AND SOCIAL CARE (TOTAL)</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53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23.17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86.89%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33.26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13.11%</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     10.09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30.34%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61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24.49</w:t>
            </w:r>
          </w:p>
        </w:tc>
      </w:tr>
      <w:tr w:rsidR="00B44DAF" w:rsidRPr="00B44DAF" w:rsidTr="005F4B47">
        <w:trPr>
          <w:trHeight w:val="264"/>
        </w:trPr>
        <w:tc>
          <w:tcPr>
            <w:tcW w:w="1238" w:type="pct"/>
            <w:tcBorders>
              <w:top w:val="single" w:sz="4" w:space="0" w:color="auto"/>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SUPPORT SERVICES</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664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13.67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73.21%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243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13.67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26.79%</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0.00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0.03%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907</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13.67</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14.79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56.00%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14.80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44.00%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0.01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0.07%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14.80</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16.19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13.04%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16.32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86.96%</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0.12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0.74%</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46</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16.30</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0.00%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19.60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54163F" w:rsidP="0054163F">
            <w:pPr>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54163F" w:rsidP="0054163F">
            <w:pPr>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19.60</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21.72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29.17%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23.83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70.83%</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2.10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8.83%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23.21</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18.18%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9</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27.23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81.82%</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27.63</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8A</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75.00%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25.00%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31.16</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lastRenderedPageBreak/>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8B</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36.79</w:t>
            </w:r>
          </w:p>
        </w:tc>
      </w:tr>
      <w:tr w:rsidR="00B44DAF" w:rsidRPr="00B44DAF" w:rsidTr="005F4B47">
        <w:trPr>
          <w:trHeight w:val="264"/>
        </w:trPr>
        <w:tc>
          <w:tcPr>
            <w:tcW w:w="1238" w:type="pct"/>
            <w:tcBorders>
              <w:top w:val="nil"/>
              <w:left w:val="single" w:sz="4" w:space="0" w:color="auto"/>
              <w:bottom w:val="nil"/>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8C</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46.58</w:t>
            </w:r>
          </w:p>
        </w:tc>
      </w:tr>
      <w:tr w:rsidR="00B44DAF" w:rsidRPr="00B44DAF" w:rsidTr="005F4B47">
        <w:trPr>
          <w:trHeight w:val="264"/>
        </w:trPr>
        <w:tc>
          <w:tcPr>
            <w:tcW w:w="1238" w:type="pct"/>
            <w:tcBorders>
              <w:top w:val="nil"/>
              <w:left w:val="single" w:sz="4" w:space="0" w:color="auto"/>
              <w:bottom w:val="single" w:sz="4" w:space="0" w:color="auto"/>
              <w:right w:val="nil"/>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ind w:firstLineChars="100" w:firstLine="180"/>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Band 8D</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100.00%</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center"/>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 xml:space="preserve"> -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1</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color w:val="000000"/>
                <w:sz w:val="18"/>
                <w:szCs w:val="18"/>
                <w:lang w:eastAsia="en-GB"/>
              </w:rPr>
            </w:pPr>
            <w:r w:rsidRPr="00B44DAF">
              <w:rPr>
                <w:rFonts w:asciiTheme="minorHAnsi" w:hAnsiTheme="minorHAnsi" w:cstheme="minorHAnsi"/>
                <w:color w:val="000000"/>
                <w:sz w:val="18"/>
                <w:szCs w:val="18"/>
                <w:lang w:eastAsia="en-GB"/>
              </w:rPr>
              <w:t>51.59</w:t>
            </w:r>
          </w:p>
        </w:tc>
      </w:tr>
      <w:tr w:rsidR="00B44DAF" w:rsidRPr="00B44DAF" w:rsidTr="005F4B47">
        <w:trPr>
          <w:trHeight w:val="264"/>
        </w:trPr>
        <w:tc>
          <w:tcPr>
            <w:tcW w:w="1238" w:type="pct"/>
            <w:tcBorders>
              <w:top w:val="nil"/>
              <w:left w:val="nil"/>
              <w:bottom w:val="nil"/>
              <w:right w:val="nil"/>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SUPPORT SERVICES (TOTAL)</w:t>
            </w:r>
          </w:p>
        </w:tc>
        <w:tc>
          <w:tcPr>
            <w:tcW w:w="447" w:type="pct"/>
            <w:tcBorders>
              <w:top w:val="nil"/>
              <w:left w:val="single" w:sz="4" w:space="0" w:color="auto"/>
              <w:bottom w:val="single" w:sz="4" w:space="0" w:color="auto"/>
              <w:right w:val="single" w:sz="4" w:space="0" w:color="auto"/>
            </w:tcBorders>
            <w:shd w:val="clear" w:color="auto" w:fill="auto"/>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737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13.96</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66.88%</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365</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15.37</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33.12%</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       1.41 </w:t>
            </w:r>
          </w:p>
        </w:tc>
        <w:tc>
          <w:tcPr>
            <w:tcW w:w="379" w:type="pct"/>
            <w:tcBorders>
              <w:top w:val="nil"/>
              <w:left w:val="nil"/>
              <w:bottom w:val="single" w:sz="4" w:space="0" w:color="auto"/>
              <w:right w:val="single" w:sz="4" w:space="0" w:color="auto"/>
            </w:tcBorders>
            <w:shd w:val="clear" w:color="000000" w:fill="FFFFFF"/>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9.20%</w:t>
            </w:r>
          </w:p>
        </w:tc>
        <w:tc>
          <w:tcPr>
            <w:tcW w:w="320"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1102</w:t>
            </w:r>
          </w:p>
        </w:tc>
        <w:tc>
          <w:tcPr>
            <w:tcW w:w="317" w:type="pct"/>
            <w:tcBorders>
              <w:top w:val="nil"/>
              <w:left w:val="nil"/>
              <w:bottom w:val="single" w:sz="4" w:space="0" w:color="auto"/>
              <w:right w:val="single" w:sz="4" w:space="0" w:color="auto"/>
            </w:tcBorders>
            <w:shd w:val="clear" w:color="auto" w:fill="auto"/>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14.43</w:t>
            </w:r>
          </w:p>
        </w:tc>
      </w:tr>
      <w:tr w:rsidR="00B44DAF" w:rsidRPr="00B44DAF" w:rsidTr="005F4B47">
        <w:trPr>
          <w:trHeight w:val="264"/>
        </w:trPr>
        <w:tc>
          <w:tcPr>
            <w:tcW w:w="1238" w:type="pct"/>
            <w:tcBorders>
              <w:top w:val="single" w:sz="4" w:space="0" w:color="auto"/>
              <w:left w:val="single" w:sz="4" w:space="0" w:color="auto"/>
              <w:bottom w:val="single" w:sz="4" w:space="0" w:color="auto"/>
              <w:right w:val="nil"/>
            </w:tcBorders>
            <w:shd w:val="clear" w:color="000000" w:fill="DBE5F1"/>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GRAND TOTAL</w:t>
            </w:r>
          </w:p>
        </w:tc>
        <w:tc>
          <w:tcPr>
            <w:tcW w:w="447" w:type="pct"/>
            <w:tcBorders>
              <w:top w:val="nil"/>
              <w:left w:val="single" w:sz="4" w:space="0" w:color="auto"/>
              <w:bottom w:val="single" w:sz="4" w:space="0" w:color="auto"/>
              <w:right w:val="single" w:sz="4" w:space="0" w:color="auto"/>
            </w:tcBorders>
            <w:shd w:val="clear" w:color="000000" w:fill="DBE5F1"/>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w:t>
            </w:r>
          </w:p>
        </w:tc>
        <w:tc>
          <w:tcPr>
            <w:tcW w:w="320"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8092</w:t>
            </w:r>
          </w:p>
        </w:tc>
        <w:tc>
          <w:tcPr>
            <w:tcW w:w="320"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19.57</w:t>
            </w:r>
          </w:p>
        </w:tc>
        <w:tc>
          <w:tcPr>
            <w:tcW w:w="320"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86.45%</w:t>
            </w:r>
          </w:p>
        </w:tc>
        <w:tc>
          <w:tcPr>
            <w:tcW w:w="320"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1268</w:t>
            </w:r>
          </w:p>
        </w:tc>
        <w:tc>
          <w:tcPr>
            <w:tcW w:w="320"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19.53</w:t>
            </w:r>
          </w:p>
        </w:tc>
        <w:tc>
          <w:tcPr>
            <w:tcW w:w="320"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13.55%</w:t>
            </w:r>
          </w:p>
        </w:tc>
        <w:tc>
          <w:tcPr>
            <w:tcW w:w="379"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 xml:space="preserve">-£       0.05 </w:t>
            </w:r>
          </w:p>
        </w:tc>
        <w:tc>
          <w:tcPr>
            <w:tcW w:w="379"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-0.25%</w:t>
            </w:r>
          </w:p>
        </w:tc>
        <w:tc>
          <w:tcPr>
            <w:tcW w:w="320"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9360</w:t>
            </w:r>
          </w:p>
        </w:tc>
        <w:tc>
          <w:tcPr>
            <w:tcW w:w="317" w:type="pct"/>
            <w:tcBorders>
              <w:top w:val="nil"/>
              <w:left w:val="nil"/>
              <w:bottom w:val="single" w:sz="4" w:space="0" w:color="auto"/>
              <w:right w:val="single" w:sz="4" w:space="0" w:color="auto"/>
            </w:tcBorders>
            <w:shd w:val="clear" w:color="000000" w:fill="DBE5F1"/>
            <w:noWrap/>
            <w:vAlign w:val="bottom"/>
            <w:hideMark/>
          </w:tcPr>
          <w:p w:rsidR="00B44DAF" w:rsidRPr="00B44DAF" w:rsidRDefault="00B44DAF" w:rsidP="00B44DAF">
            <w:pPr>
              <w:jc w:val="right"/>
              <w:rPr>
                <w:rFonts w:asciiTheme="minorHAnsi" w:hAnsiTheme="minorHAnsi" w:cstheme="minorHAnsi"/>
                <w:b/>
                <w:bCs/>
                <w:color w:val="000000"/>
                <w:sz w:val="18"/>
                <w:szCs w:val="18"/>
                <w:lang w:eastAsia="en-GB"/>
              </w:rPr>
            </w:pPr>
            <w:r w:rsidRPr="00B44DAF">
              <w:rPr>
                <w:rFonts w:asciiTheme="minorHAnsi" w:hAnsiTheme="minorHAnsi" w:cstheme="minorHAnsi"/>
                <w:b/>
                <w:bCs/>
                <w:color w:val="000000"/>
                <w:sz w:val="18"/>
                <w:szCs w:val="18"/>
                <w:lang w:eastAsia="en-GB"/>
              </w:rPr>
              <w:t>19.57</w:t>
            </w:r>
          </w:p>
        </w:tc>
      </w:tr>
    </w:tbl>
    <w:p w:rsidR="00B44DAF" w:rsidRDefault="00B44DAF" w:rsidP="00D57806"/>
    <w:p w:rsidR="005F4B47" w:rsidRDefault="005F4B47" w:rsidP="00D57806"/>
    <w:p w:rsidR="005F4B47" w:rsidRDefault="005F4B47" w:rsidP="00D57806"/>
    <w:p w:rsidR="00B44DAF" w:rsidRDefault="00B44DAF" w:rsidP="00D57806"/>
    <w:p w:rsidR="00B44DAF" w:rsidRDefault="00B44DAF"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tbl>
      <w:tblPr>
        <w:tblW w:w="3982" w:type="dxa"/>
        <w:tblInd w:w="95" w:type="dxa"/>
        <w:tblLook w:val="04A0"/>
      </w:tblPr>
      <w:tblGrid>
        <w:gridCol w:w="3982"/>
      </w:tblGrid>
      <w:tr w:rsidR="005F4B47" w:rsidRPr="005F4B47" w:rsidTr="005F4B47">
        <w:trPr>
          <w:trHeight w:val="264"/>
        </w:trPr>
        <w:tc>
          <w:tcPr>
            <w:tcW w:w="3982" w:type="dxa"/>
            <w:tcBorders>
              <w:top w:val="nil"/>
              <w:left w:val="nil"/>
              <w:bottom w:val="nil"/>
              <w:right w:val="nil"/>
            </w:tcBorders>
            <w:shd w:val="clear" w:color="000000" w:fill="FFFFFF"/>
            <w:noWrap/>
            <w:vAlign w:val="bottom"/>
            <w:hideMark/>
          </w:tcPr>
          <w:p w:rsidR="005F4B47" w:rsidRPr="005F4B47" w:rsidRDefault="005F4B47" w:rsidP="005F4B47">
            <w:pPr>
              <w:rPr>
                <w:rFonts w:cs="Arial"/>
                <w:sz w:val="20"/>
                <w:lang w:eastAsia="en-GB"/>
              </w:rPr>
            </w:pPr>
            <w:r w:rsidRPr="005F4B47">
              <w:rPr>
                <w:rFonts w:cs="Arial"/>
                <w:sz w:val="20"/>
                <w:lang w:eastAsia="en-GB"/>
              </w:rPr>
              <w:t>Reporting Category:  Medical &amp; Dental</w:t>
            </w:r>
          </w:p>
        </w:tc>
      </w:tr>
      <w:tr w:rsidR="005F4B47" w:rsidRPr="005F4B47" w:rsidTr="005F4B47">
        <w:trPr>
          <w:trHeight w:val="264"/>
        </w:trPr>
        <w:tc>
          <w:tcPr>
            <w:tcW w:w="3982" w:type="dxa"/>
            <w:tcBorders>
              <w:top w:val="nil"/>
              <w:left w:val="nil"/>
              <w:bottom w:val="nil"/>
              <w:right w:val="nil"/>
            </w:tcBorders>
            <w:shd w:val="clear" w:color="000000" w:fill="FFFFFF"/>
            <w:noWrap/>
            <w:vAlign w:val="bottom"/>
            <w:hideMark/>
          </w:tcPr>
          <w:p w:rsidR="005F4B47" w:rsidRPr="005F4B47" w:rsidRDefault="005F4B47" w:rsidP="005F4B47">
            <w:pPr>
              <w:rPr>
                <w:rFonts w:cs="Arial"/>
                <w:b/>
                <w:bCs/>
                <w:sz w:val="20"/>
                <w:lang w:eastAsia="en-GB"/>
              </w:rPr>
            </w:pPr>
            <w:r w:rsidRPr="005F4B47">
              <w:rPr>
                <w:rFonts w:cs="Arial"/>
                <w:b/>
                <w:bCs/>
                <w:sz w:val="20"/>
                <w:lang w:eastAsia="en-GB"/>
              </w:rPr>
              <w:t>Gender Equal Pay Audit</w:t>
            </w:r>
          </w:p>
        </w:tc>
      </w:tr>
    </w:tbl>
    <w:p w:rsidR="005F4B47" w:rsidRDefault="005F4B47" w:rsidP="00D57806"/>
    <w:tbl>
      <w:tblPr>
        <w:tblW w:w="5000" w:type="pct"/>
        <w:tblLayout w:type="fixed"/>
        <w:tblLook w:val="04A0"/>
      </w:tblPr>
      <w:tblGrid>
        <w:gridCol w:w="2234"/>
        <w:gridCol w:w="2977"/>
        <w:gridCol w:w="967"/>
        <w:gridCol w:w="896"/>
        <w:gridCol w:w="904"/>
        <w:gridCol w:w="720"/>
        <w:gridCol w:w="904"/>
        <w:gridCol w:w="904"/>
        <w:gridCol w:w="1052"/>
        <w:gridCol w:w="992"/>
        <w:gridCol w:w="720"/>
        <w:gridCol w:w="904"/>
      </w:tblGrid>
      <w:tr w:rsidR="005F4B47" w:rsidRPr="005F4B47" w:rsidTr="005F4B47">
        <w:trPr>
          <w:trHeight w:val="264"/>
        </w:trPr>
        <w:tc>
          <w:tcPr>
            <w:tcW w:w="788"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976" w:type="pct"/>
            <w:gridSpan w:val="3"/>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Female</w:t>
            </w:r>
          </w:p>
        </w:tc>
        <w:tc>
          <w:tcPr>
            <w:tcW w:w="892" w:type="pct"/>
            <w:gridSpan w:val="3"/>
            <w:tcBorders>
              <w:top w:val="single" w:sz="4" w:space="0" w:color="auto"/>
              <w:left w:val="nil"/>
              <w:bottom w:val="single" w:sz="4" w:space="0" w:color="auto"/>
              <w:right w:val="single" w:sz="4" w:space="0" w:color="000000"/>
            </w:tcBorders>
            <w:shd w:val="clear" w:color="000000" w:fill="DBE5F1"/>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Male</w:t>
            </w:r>
          </w:p>
        </w:tc>
        <w:tc>
          <w:tcPr>
            <w:tcW w:w="371"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50"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54"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9"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r>
      <w:tr w:rsidR="005F4B47" w:rsidRPr="005F4B47" w:rsidTr="005F4B47">
        <w:trPr>
          <w:trHeight w:val="1056"/>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Job Family</w:t>
            </w:r>
          </w:p>
        </w:tc>
        <w:tc>
          <w:tcPr>
            <w:tcW w:w="1050" w:type="pct"/>
            <w:tcBorders>
              <w:top w:val="single" w:sz="4" w:space="0" w:color="auto"/>
              <w:left w:val="nil"/>
              <w:bottom w:val="nil"/>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AFC Band</w:t>
            </w:r>
          </w:p>
        </w:tc>
        <w:tc>
          <w:tcPr>
            <w:tcW w:w="341"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Count</w:t>
            </w:r>
          </w:p>
        </w:tc>
        <w:tc>
          <w:tcPr>
            <w:tcW w:w="316"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Avg Basic Hourly Rate</w:t>
            </w:r>
          </w:p>
        </w:tc>
        <w:tc>
          <w:tcPr>
            <w:tcW w:w="319"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 of Staff Group</w:t>
            </w:r>
          </w:p>
        </w:tc>
        <w:tc>
          <w:tcPr>
            <w:tcW w:w="254"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Count</w:t>
            </w:r>
          </w:p>
        </w:tc>
        <w:tc>
          <w:tcPr>
            <w:tcW w:w="319"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Average of Basic Hourly Rate</w:t>
            </w:r>
          </w:p>
        </w:tc>
        <w:tc>
          <w:tcPr>
            <w:tcW w:w="319"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 of Staff Group</w:t>
            </w:r>
          </w:p>
        </w:tc>
        <w:tc>
          <w:tcPr>
            <w:tcW w:w="371" w:type="pct"/>
            <w:tcBorders>
              <w:top w:val="single" w:sz="4" w:space="0" w:color="auto"/>
              <w:left w:val="nil"/>
              <w:bottom w:val="nil"/>
              <w:right w:val="single" w:sz="4" w:space="0" w:color="auto"/>
            </w:tcBorders>
            <w:shd w:val="clear" w:color="000000" w:fill="FFFFFF"/>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Monetary Variance Male to Female</w:t>
            </w:r>
          </w:p>
        </w:tc>
        <w:tc>
          <w:tcPr>
            <w:tcW w:w="350" w:type="pct"/>
            <w:tcBorders>
              <w:top w:val="single" w:sz="4" w:space="0" w:color="auto"/>
              <w:left w:val="nil"/>
              <w:bottom w:val="nil"/>
              <w:right w:val="single" w:sz="4" w:space="0" w:color="auto"/>
            </w:tcBorders>
            <w:shd w:val="clear" w:color="000000" w:fill="FFFFFF"/>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Monetary Variance Male to Female %</w:t>
            </w:r>
          </w:p>
        </w:tc>
        <w:tc>
          <w:tcPr>
            <w:tcW w:w="254" w:type="pct"/>
            <w:tcBorders>
              <w:top w:val="single" w:sz="4" w:space="0" w:color="auto"/>
              <w:left w:val="nil"/>
              <w:bottom w:val="nil"/>
              <w:right w:val="single" w:sz="4" w:space="0" w:color="auto"/>
            </w:tcBorders>
            <w:shd w:val="clear" w:color="000000" w:fill="FFFFFF"/>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Total Count</w:t>
            </w:r>
          </w:p>
        </w:tc>
        <w:tc>
          <w:tcPr>
            <w:tcW w:w="319" w:type="pct"/>
            <w:tcBorders>
              <w:top w:val="single" w:sz="4" w:space="0" w:color="auto"/>
              <w:left w:val="nil"/>
              <w:bottom w:val="nil"/>
              <w:right w:val="single" w:sz="4" w:space="0" w:color="auto"/>
            </w:tcBorders>
            <w:shd w:val="clear" w:color="000000" w:fill="FFFFFF"/>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Average of Basic Hourly Rate</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MEDICAL &amp; DENTAL</w:t>
            </w:r>
          </w:p>
        </w:tc>
        <w:tc>
          <w:tcPr>
            <w:tcW w:w="1050"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Associate Specialist</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75.00%</w:t>
            </w:r>
          </w:p>
        </w:tc>
        <w:tc>
          <w:tcPr>
            <w:tcW w:w="254"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25.00%</w:t>
            </w:r>
          </w:p>
        </w:tc>
        <w:tc>
          <w:tcPr>
            <w:tcW w:w="371" w:type="pct"/>
            <w:tcBorders>
              <w:top w:val="single" w:sz="4" w:space="0" w:color="auto"/>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single" w:sz="4" w:space="0" w:color="auto"/>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Clinical Director</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Clinical Fellow</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27</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23.29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55.10%</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22</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23.14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44.90%</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0.15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-0.65%</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49</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23.22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Consultant</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161</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60.19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48.64%</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170</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60.68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51.36%</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0.49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0.81%</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331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60.44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Dental Officer</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18</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40.14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85.71%</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14.29%</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21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40.68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Director of Public Health</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Foundation House Officer Year 1</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33.33%</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6</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16.54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66.67%</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9</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16.54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Foundation House Officer Year 2</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8</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20.69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66.67%</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33.33%</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12</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20.85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Medical Director</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Other</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5</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61.19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83.33%</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16.67%</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6</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61.27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Salaried GP</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41</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53.15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56.94%</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53.53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43.06%</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0.38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0.71%</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72</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53.32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Senior Dental Officer</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7</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47.10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7</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47.10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Specialist Doctor</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788" w:type="pct"/>
            <w:tcBorders>
              <w:top w:val="nil"/>
              <w:left w:val="single" w:sz="4" w:space="0" w:color="auto"/>
              <w:bottom w:val="nil"/>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Specialty Doctor</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41</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38.64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64.06%</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23</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38.94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35.94%</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0.30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0.77%</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64</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38.74 </w:t>
            </w:r>
          </w:p>
        </w:tc>
      </w:tr>
      <w:tr w:rsidR="005F4B47" w:rsidRPr="005F4B47" w:rsidTr="005F4B47">
        <w:trPr>
          <w:trHeight w:val="264"/>
        </w:trPr>
        <w:tc>
          <w:tcPr>
            <w:tcW w:w="788" w:type="pct"/>
            <w:tcBorders>
              <w:top w:val="nil"/>
              <w:left w:val="single" w:sz="4" w:space="0" w:color="auto"/>
              <w:bottom w:val="single" w:sz="4" w:space="0" w:color="auto"/>
              <w:right w:val="single" w:sz="4" w:space="0" w:color="auto"/>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05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Specialty Registrar</w:t>
            </w:r>
          </w:p>
        </w:tc>
        <w:tc>
          <w:tcPr>
            <w:tcW w:w="341"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316"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25.00%</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75.00%</w:t>
            </w:r>
          </w:p>
        </w:tc>
        <w:tc>
          <w:tcPr>
            <w:tcW w:w="371"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50"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5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w:t>
            </w:r>
          </w:p>
        </w:tc>
        <w:tc>
          <w:tcPr>
            <w:tcW w:w="319"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788" w:type="pct"/>
            <w:tcBorders>
              <w:top w:val="nil"/>
              <w:left w:val="single" w:sz="4" w:space="0" w:color="auto"/>
              <w:bottom w:val="single" w:sz="4" w:space="0" w:color="auto"/>
              <w:right w:val="single" w:sz="4" w:space="0" w:color="auto"/>
            </w:tcBorders>
            <w:shd w:val="clear" w:color="000000" w:fill="DBE5F1"/>
            <w:noWrap/>
            <w:vAlign w:val="bottom"/>
            <w:hideMark/>
          </w:tcPr>
          <w:p w:rsidR="005F4B47" w:rsidRPr="005F4B47" w:rsidRDefault="005F4B47" w:rsidP="005F4B47">
            <w:pPr>
              <w:rPr>
                <w:rFonts w:asciiTheme="minorHAnsi" w:hAnsiTheme="minorHAnsi" w:cstheme="minorHAnsi"/>
                <w:b/>
                <w:bCs/>
                <w:color w:val="000000"/>
                <w:sz w:val="18"/>
                <w:szCs w:val="18"/>
                <w:lang w:eastAsia="en-GB"/>
              </w:rPr>
            </w:pPr>
            <w:r w:rsidRPr="005F4B47">
              <w:rPr>
                <w:rFonts w:asciiTheme="minorHAnsi" w:hAnsiTheme="minorHAnsi" w:cstheme="minorHAnsi"/>
                <w:b/>
                <w:bCs/>
                <w:color w:val="000000"/>
                <w:sz w:val="18"/>
                <w:szCs w:val="18"/>
                <w:lang w:eastAsia="en-GB"/>
              </w:rPr>
              <w:t>MEDICAL &amp; DENTAL (TOTAL)</w:t>
            </w:r>
          </w:p>
        </w:tc>
        <w:tc>
          <w:tcPr>
            <w:tcW w:w="1050"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ind w:firstLineChars="100" w:firstLine="181"/>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 </w:t>
            </w:r>
          </w:p>
        </w:tc>
        <w:tc>
          <w:tcPr>
            <w:tcW w:w="341"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317</w:t>
            </w:r>
          </w:p>
        </w:tc>
        <w:tc>
          <w:tcPr>
            <w:tcW w:w="316"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 xml:space="preserve"> £  50.37 </w:t>
            </w:r>
          </w:p>
        </w:tc>
        <w:tc>
          <w:tcPr>
            <w:tcW w:w="319"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54.47%</w:t>
            </w:r>
          </w:p>
        </w:tc>
        <w:tc>
          <w:tcPr>
            <w:tcW w:w="254"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265</w:t>
            </w:r>
          </w:p>
        </w:tc>
        <w:tc>
          <w:tcPr>
            <w:tcW w:w="319"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center"/>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 xml:space="preserve"> £  52.73 </w:t>
            </w:r>
          </w:p>
        </w:tc>
        <w:tc>
          <w:tcPr>
            <w:tcW w:w="319"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45.53%</w:t>
            </w:r>
          </w:p>
        </w:tc>
        <w:tc>
          <w:tcPr>
            <w:tcW w:w="371"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 xml:space="preserve"> £       2.35 </w:t>
            </w:r>
          </w:p>
        </w:tc>
        <w:tc>
          <w:tcPr>
            <w:tcW w:w="350"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4.46%</w:t>
            </w:r>
          </w:p>
        </w:tc>
        <w:tc>
          <w:tcPr>
            <w:tcW w:w="254"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582</w:t>
            </w:r>
          </w:p>
        </w:tc>
        <w:tc>
          <w:tcPr>
            <w:tcW w:w="319"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rPr>
                <w:rFonts w:asciiTheme="minorHAnsi" w:hAnsiTheme="minorHAnsi" w:cstheme="minorHAnsi"/>
                <w:b/>
                <w:color w:val="000000"/>
                <w:sz w:val="18"/>
                <w:szCs w:val="18"/>
                <w:lang w:eastAsia="en-GB"/>
              </w:rPr>
            </w:pPr>
            <w:r w:rsidRPr="005F4B47">
              <w:rPr>
                <w:rFonts w:asciiTheme="minorHAnsi" w:hAnsiTheme="minorHAnsi" w:cstheme="minorHAnsi"/>
                <w:b/>
                <w:color w:val="000000"/>
                <w:sz w:val="18"/>
                <w:szCs w:val="18"/>
                <w:lang w:eastAsia="en-GB"/>
              </w:rPr>
              <w:t xml:space="preserve"> £  51.45 </w:t>
            </w:r>
          </w:p>
        </w:tc>
      </w:tr>
    </w:tbl>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p w:rsidR="005F4B47" w:rsidRDefault="005F4B47" w:rsidP="00D57806"/>
    <w:tbl>
      <w:tblPr>
        <w:tblW w:w="3982" w:type="dxa"/>
        <w:tblInd w:w="95" w:type="dxa"/>
        <w:tblLook w:val="04A0"/>
      </w:tblPr>
      <w:tblGrid>
        <w:gridCol w:w="3982"/>
      </w:tblGrid>
      <w:tr w:rsidR="005F4B47" w:rsidRPr="005F4B47" w:rsidTr="005F4B47">
        <w:trPr>
          <w:trHeight w:val="264"/>
        </w:trPr>
        <w:tc>
          <w:tcPr>
            <w:tcW w:w="3982" w:type="dxa"/>
            <w:tcBorders>
              <w:top w:val="nil"/>
              <w:left w:val="nil"/>
              <w:bottom w:val="nil"/>
              <w:right w:val="nil"/>
            </w:tcBorders>
            <w:shd w:val="clear" w:color="000000" w:fill="FFFFFF"/>
            <w:noWrap/>
            <w:vAlign w:val="bottom"/>
            <w:hideMark/>
          </w:tcPr>
          <w:p w:rsidR="005F4B47" w:rsidRPr="005F4B47" w:rsidRDefault="005F4B47" w:rsidP="005F4B47">
            <w:pPr>
              <w:rPr>
                <w:rFonts w:cs="Arial"/>
                <w:sz w:val="20"/>
                <w:lang w:eastAsia="en-GB"/>
              </w:rPr>
            </w:pPr>
            <w:r w:rsidRPr="005F4B47">
              <w:rPr>
                <w:rFonts w:cs="Arial"/>
                <w:sz w:val="20"/>
                <w:lang w:eastAsia="en-GB"/>
              </w:rPr>
              <w:t>Reporting Category:  Executive / Senior Managers</w:t>
            </w:r>
          </w:p>
        </w:tc>
      </w:tr>
      <w:tr w:rsidR="005F4B47" w:rsidRPr="005F4B47" w:rsidTr="005F4B47">
        <w:trPr>
          <w:trHeight w:val="264"/>
        </w:trPr>
        <w:tc>
          <w:tcPr>
            <w:tcW w:w="3982" w:type="dxa"/>
            <w:tcBorders>
              <w:top w:val="nil"/>
              <w:left w:val="nil"/>
              <w:bottom w:val="nil"/>
              <w:right w:val="nil"/>
            </w:tcBorders>
            <w:shd w:val="clear" w:color="000000" w:fill="FFFFFF"/>
            <w:noWrap/>
            <w:vAlign w:val="bottom"/>
            <w:hideMark/>
          </w:tcPr>
          <w:p w:rsidR="005F4B47" w:rsidRPr="005F4B47" w:rsidRDefault="005F4B47" w:rsidP="005F4B47">
            <w:pPr>
              <w:rPr>
                <w:rFonts w:cs="Arial"/>
                <w:b/>
                <w:bCs/>
                <w:sz w:val="20"/>
                <w:lang w:eastAsia="en-GB"/>
              </w:rPr>
            </w:pPr>
            <w:r w:rsidRPr="005F4B47">
              <w:rPr>
                <w:rFonts w:cs="Arial"/>
                <w:b/>
                <w:bCs/>
                <w:sz w:val="20"/>
                <w:lang w:eastAsia="en-GB"/>
              </w:rPr>
              <w:t>Gender Equal Pay Audit</w:t>
            </w:r>
          </w:p>
        </w:tc>
      </w:tr>
    </w:tbl>
    <w:p w:rsidR="005F4B47" w:rsidRDefault="005F4B47" w:rsidP="00D57806"/>
    <w:tbl>
      <w:tblPr>
        <w:tblW w:w="5000" w:type="pct"/>
        <w:tblLook w:val="04A0"/>
      </w:tblPr>
      <w:tblGrid>
        <w:gridCol w:w="2923"/>
        <w:gridCol w:w="3884"/>
        <w:gridCol w:w="607"/>
        <w:gridCol w:w="760"/>
        <w:gridCol w:w="766"/>
        <w:gridCol w:w="607"/>
        <w:gridCol w:w="760"/>
        <w:gridCol w:w="766"/>
        <w:gridCol w:w="871"/>
        <w:gridCol w:w="863"/>
        <w:gridCol w:w="607"/>
        <w:gridCol w:w="760"/>
      </w:tblGrid>
      <w:tr w:rsidR="005F4B47" w:rsidRPr="005F4B47" w:rsidTr="005F4B47">
        <w:trPr>
          <w:trHeight w:val="264"/>
        </w:trPr>
        <w:tc>
          <w:tcPr>
            <w:tcW w:w="938"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1464"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752" w:type="pct"/>
            <w:gridSpan w:val="3"/>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Female</w:t>
            </w:r>
          </w:p>
        </w:tc>
        <w:tc>
          <w:tcPr>
            <w:tcW w:w="752" w:type="pct"/>
            <w:gridSpan w:val="3"/>
            <w:tcBorders>
              <w:top w:val="single" w:sz="4" w:space="0" w:color="auto"/>
              <w:left w:val="nil"/>
              <w:bottom w:val="single" w:sz="4" w:space="0" w:color="auto"/>
              <w:right w:val="single" w:sz="4" w:space="0" w:color="000000"/>
            </w:tcBorders>
            <w:shd w:val="clear" w:color="000000" w:fill="DBE5F1"/>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Male</w:t>
            </w:r>
          </w:p>
        </w:tc>
        <w:tc>
          <w:tcPr>
            <w:tcW w:w="307"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304"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14"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68" w:type="pct"/>
            <w:tcBorders>
              <w:top w:val="nil"/>
              <w:left w:val="nil"/>
              <w:bottom w:val="nil"/>
              <w:right w:val="nil"/>
            </w:tcBorders>
            <w:shd w:val="clear" w:color="000000" w:fill="FFFFFF"/>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r>
      <w:tr w:rsidR="005F4B47" w:rsidRPr="005F4B47" w:rsidTr="005F4B47">
        <w:trPr>
          <w:trHeight w:val="1056"/>
        </w:trPr>
        <w:tc>
          <w:tcPr>
            <w:tcW w:w="9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Job Family</w:t>
            </w:r>
          </w:p>
        </w:tc>
        <w:tc>
          <w:tcPr>
            <w:tcW w:w="1464" w:type="pct"/>
            <w:tcBorders>
              <w:top w:val="single" w:sz="4" w:space="0" w:color="auto"/>
              <w:left w:val="nil"/>
              <w:bottom w:val="nil"/>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AFC Band</w:t>
            </w:r>
          </w:p>
        </w:tc>
        <w:tc>
          <w:tcPr>
            <w:tcW w:w="214"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Count</w:t>
            </w:r>
          </w:p>
        </w:tc>
        <w:tc>
          <w:tcPr>
            <w:tcW w:w="268"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Avg Basic Hourly Rate</w:t>
            </w:r>
          </w:p>
        </w:tc>
        <w:tc>
          <w:tcPr>
            <w:tcW w:w="270"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 of Staff Group</w:t>
            </w:r>
          </w:p>
        </w:tc>
        <w:tc>
          <w:tcPr>
            <w:tcW w:w="214"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Count</w:t>
            </w:r>
          </w:p>
        </w:tc>
        <w:tc>
          <w:tcPr>
            <w:tcW w:w="268"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Average of Basic Hourly Rate</w:t>
            </w:r>
          </w:p>
        </w:tc>
        <w:tc>
          <w:tcPr>
            <w:tcW w:w="270" w:type="pct"/>
            <w:tcBorders>
              <w:top w:val="nil"/>
              <w:left w:val="nil"/>
              <w:bottom w:val="nil"/>
              <w:right w:val="single" w:sz="4" w:space="0" w:color="auto"/>
            </w:tcBorders>
            <w:shd w:val="clear" w:color="000000" w:fill="DBE5F1"/>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 of Staff Group</w:t>
            </w:r>
          </w:p>
        </w:tc>
        <w:tc>
          <w:tcPr>
            <w:tcW w:w="307" w:type="pct"/>
            <w:tcBorders>
              <w:top w:val="single" w:sz="4" w:space="0" w:color="auto"/>
              <w:left w:val="nil"/>
              <w:bottom w:val="nil"/>
              <w:right w:val="single" w:sz="4" w:space="0" w:color="auto"/>
            </w:tcBorders>
            <w:shd w:val="clear" w:color="000000" w:fill="FFFFFF"/>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Monetary Variance Male to Female</w:t>
            </w:r>
          </w:p>
        </w:tc>
        <w:tc>
          <w:tcPr>
            <w:tcW w:w="304" w:type="pct"/>
            <w:tcBorders>
              <w:top w:val="single" w:sz="4" w:space="0" w:color="auto"/>
              <w:left w:val="nil"/>
              <w:bottom w:val="nil"/>
              <w:right w:val="single" w:sz="4" w:space="0" w:color="auto"/>
            </w:tcBorders>
            <w:shd w:val="clear" w:color="000000" w:fill="FFFFFF"/>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Monetary Variance Male to Female %</w:t>
            </w:r>
          </w:p>
        </w:tc>
        <w:tc>
          <w:tcPr>
            <w:tcW w:w="214" w:type="pct"/>
            <w:tcBorders>
              <w:top w:val="single" w:sz="4" w:space="0" w:color="auto"/>
              <w:left w:val="nil"/>
              <w:bottom w:val="nil"/>
              <w:right w:val="single" w:sz="4" w:space="0" w:color="auto"/>
            </w:tcBorders>
            <w:shd w:val="clear" w:color="000000" w:fill="FFFFFF"/>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Total Count</w:t>
            </w:r>
          </w:p>
        </w:tc>
        <w:tc>
          <w:tcPr>
            <w:tcW w:w="268" w:type="pct"/>
            <w:tcBorders>
              <w:top w:val="single" w:sz="4" w:space="0" w:color="auto"/>
              <w:left w:val="nil"/>
              <w:bottom w:val="nil"/>
              <w:right w:val="single" w:sz="4" w:space="0" w:color="auto"/>
            </w:tcBorders>
            <w:shd w:val="clear" w:color="000000" w:fill="FFFFFF"/>
            <w:vAlign w:val="center"/>
            <w:hideMark/>
          </w:tcPr>
          <w:p w:rsidR="005F4B47" w:rsidRPr="005F4B47" w:rsidRDefault="005F4B47" w:rsidP="005F4B47">
            <w:pPr>
              <w:jc w:val="center"/>
              <w:rPr>
                <w:rFonts w:asciiTheme="minorHAnsi" w:hAnsiTheme="minorHAnsi" w:cstheme="minorHAnsi"/>
                <w:b/>
                <w:bCs/>
                <w:sz w:val="18"/>
                <w:szCs w:val="18"/>
                <w:lang w:eastAsia="en-GB"/>
              </w:rPr>
            </w:pPr>
            <w:r w:rsidRPr="005F4B47">
              <w:rPr>
                <w:rFonts w:asciiTheme="minorHAnsi" w:hAnsiTheme="minorHAnsi" w:cstheme="minorHAnsi"/>
                <w:b/>
                <w:bCs/>
                <w:sz w:val="18"/>
                <w:szCs w:val="18"/>
                <w:lang w:eastAsia="en-GB"/>
              </w:rPr>
              <w:t>Average of Basic Hourly Rate</w:t>
            </w:r>
          </w:p>
        </w:tc>
      </w:tr>
      <w:tr w:rsidR="005F4B47" w:rsidRPr="005F4B47" w:rsidTr="005F4B47">
        <w:trPr>
          <w:trHeight w:val="264"/>
        </w:trPr>
        <w:tc>
          <w:tcPr>
            <w:tcW w:w="938" w:type="pct"/>
            <w:vMerge w:val="restart"/>
            <w:tcBorders>
              <w:top w:val="nil"/>
              <w:left w:val="single" w:sz="4" w:space="0" w:color="auto"/>
              <w:bottom w:val="nil"/>
              <w:right w:val="single" w:sz="4" w:space="0" w:color="auto"/>
            </w:tcBorders>
            <w:shd w:val="clear" w:color="auto" w:fill="auto"/>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EXECUTIVE / SENIOR MANAGERS</w:t>
            </w:r>
          </w:p>
        </w:tc>
        <w:tc>
          <w:tcPr>
            <w:tcW w:w="1464"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EXECUTIVE MANAGER COHORT - GRADE A</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0.00%</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307" w:type="pct"/>
            <w:tcBorders>
              <w:top w:val="single" w:sz="4" w:space="0" w:color="auto"/>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04" w:type="pct"/>
            <w:tcBorders>
              <w:top w:val="single" w:sz="4" w:space="0" w:color="auto"/>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938" w:type="pct"/>
            <w:vMerge/>
            <w:tcBorders>
              <w:top w:val="nil"/>
              <w:left w:val="single" w:sz="4" w:space="0" w:color="auto"/>
              <w:bottom w:val="nil"/>
              <w:right w:val="single" w:sz="4" w:space="0" w:color="auto"/>
            </w:tcBorders>
            <w:vAlign w:val="center"/>
            <w:hideMark/>
          </w:tcPr>
          <w:p w:rsidR="005F4B47" w:rsidRPr="005F4B47" w:rsidRDefault="005F4B47" w:rsidP="005F4B47">
            <w:pPr>
              <w:rPr>
                <w:rFonts w:asciiTheme="minorHAnsi" w:hAnsiTheme="minorHAnsi" w:cstheme="minorHAnsi"/>
                <w:color w:val="000000"/>
                <w:sz w:val="18"/>
                <w:szCs w:val="18"/>
                <w:lang w:eastAsia="en-GB"/>
              </w:rPr>
            </w:pPr>
          </w:p>
        </w:tc>
        <w:tc>
          <w:tcPr>
            <w:tcW w:w="146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EXECUTIVE MANAGER COHORT - GRADE C</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2</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0.00%</w:t>
            </w:r>
          </w:p>
        </w:tc>
        <w:tc>
          <w:tcPr>
            <w:tcW w:w="307"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04"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2</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938" w:type="pct"/>
            <w:vMerge/>
            <w:tcBorders>
              <w:top w:val="nil"/>
              <w:left w:val="single" w:sz="4" w:space="0" w:color="auto"/>
              <w:bottom w:val="nil"/>
              <w:right w:val="single" w:sz="4" w:space="0" w:color="auto"/>
            </w:tcBorders>
            <w:vAlign w:val="center"/>
            <w:hideMark/>
          </w:tcPr>
          <w:p w:rsidR="005F4B47" w:rsidRPr="005F4B47" w:rsidRDefault="005F4B47" w:rsidP="005F4B47">
            <w:pPr>
              <w:rPr>
                <w:rFonts w:asciiTheme="minorHAnsi" w:hAnsiTheme="minorHAnsi" w:cstheme="minorHAnsi"/>
                <w:color w:val="000000"/>
                <w:sz w:val="18"/>
                <w:szCs w:val="18"/>
                <w:lang w:eastAsia="en-GB"/>
              </w:rPr>
            </w:pPr>
          </w:p>
        </w:tc>
        <w:tc>
          <w:tcPr>
            <w:tcW w:w="146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EXECUTIVE MANAGER COHORT - GRADE E</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50.00%</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50.00%</w:t>
            </w:r>
          </w:p>
        </w:tc>
        <w:tc>
          <w:tcPr>
            <w:tcW w:w="307"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04"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6</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60.69 </w:t>
            </w:r>
          </w:p>
        </w:tc>
      </w:tr>
      <w:tr w:rsidR="005F4B47" w:rsidRPr="005F4B47" w:rsidTr="005F4B47">
        <w:trPr>
          <w:trHeight w:val="264"/>
        </w:trPr>
        <w:tc>
          <w:tcPr>
            <w:tcW w:w="938" w:type="pct"/>
            <w:vMerge/>
            <w:tcBorders>
              <w:top w:val="nil"/>
              <w:left w:val="single" w:sz="4" w:space="0" w:color="auto"/>
              <w:bottom w:val="nil"/>
              <w:right w:val="single" w:sz="4" w:space="0" w:color="auto"/>
            </w:tcBorders>
            <w:vAlign w:val="center"/>
            <w:hideMark/>
          </w:tcPr>
          <w:p w:rsidR="005F4B47" w:rsidRPr="005F4B47" w:rsidRDefault="005F4B47" w:rsidP="005F4B47">
            <w:pPr>
              <w:rPr>
                <w:rFonts w:asciiTheme="minorHAnsi" w:hAnsiTheme="minorHAnsi" w:cstheme="minorHAnsi"/>
                <w:color w:val="000000"/>
                <w:sz w:val="18"/>
                <w:szCs w:val="18"/>
                <w:lang w:eastAsia="en-GB"/>
              </w:rPr>
            </w:pPr>
          </w:p>
        </w:tc>
        <w:tc>
          <w:tcPr>
            <w:tcW w:w="146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EXECUTIVE MANAGER COHORT - GRADE F</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0.00%</w:t>
            </w:r>
          </w:p>
        </w:tc>
        <w:tc>
          <w:tcPr>
            <w:tcW w:w="307"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04"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938" w:type="pct"/>
            <w:vMerge/>
            <w:tcBorders>
              <w:top w:val="nil"/>
              <w:left w:val="single" w:sz="4" w:space="0" w:color="auto"/>
              <w:bottom w:val="nil"/>
              <w:right w:val="single" w:sz="4" w:space="0" w:color="auto"/>
            </w:tcBorders>
            <w:vAlign w:val="center"/>
            <w:hideMark/>
          </w:tcPr>
          <w:p w:rsidR="005F4B47" w:rsidRPr="005F4B47" w:rsidRDefault="005F4B47" w:rsidP="005F4B47">
            <w:pPr>
              <w:rPr>
                <w:rFonts w:asciiTheme="minorHAnsi" w:hAnsiTheme="minorHAnsi" w:cstheme="minorHAnsi"/>
                <w:color w:val="000000"/>
                <w:sz w:val="18"/>
                <w:szCs w:val="18"/>
                <w:lang w:eastAsia="en-GB"/>
              </w:rPr>
            </w:pPr>
          </w:p>
        </w:tc>
        <w:tc>
          <w:tcPr>
            <w:tcW w:w="146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EXECUTIVE MANAGER COHORT - GRADE H</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0.00%</w:t>
            </w:r>
          </w:p>
        </w:tc>
        <w:tc>
          <w:tcPr>
            <w:tcW w:w="307"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04"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938" w:type="pct"/>
            <w:vMerge/>
            <w:tcBorders>
              <w:top w:val="nil"/>
              <w:left w:val="single" w:sz="4" w:space="0" w:color="auto"/>
              <w:bottom w:val="nil"/>
              <w:right w:val="single" w:sz="4" w:space="0" w:color="auto"/>
            </w:tcBorders>
            <w:vAlign w:val="center"/>
            <w:hideMark/>
          </w:tcPr>
          <w:p w:rsidR="005F4B47" w:rsidRPr="005F4B47" w:rsidRDefault="005F4B47" w:rsidP="005F4B47">
            <w:pPr>
              <w:rPr>
                <w:rFonts w:asciiTheme="minorHAnsi" w:hAnsiTheme="minorHAnsi" w:cstheme="minorHAnsi"/>
                <w:color w:val="000000"/>
                <w:sz w:val="18"/>
                <w:szCs w:val="18"/>
                <w:lang w:eastAsia="en-GB"/>
              </w:rPr>
            </w:pPr>
          </w:p>
        </w:tc>
        <w:tc>
          <w:tcPr>
            <w:tcW w:w="146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EXECUTIVE MANAGER COHORT - TRANSITIONAL GRADE C</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100.00%</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70"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0.00%</w:t>
            </w:r>
          </w:p>
        </w:tc>
        <w:tc>
          <w:tcPr>
            <w:tcW w:w="307"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c>
          <w:tcPr>
            <w:tcW w:w="304" w:type="pct"/>
            <w:tcBorders>
              <w:top w:val="nil"/>
              <w:left w:val="nil"/>
              <w:bottom w:val="single" w:sz="4" w:space="0" w:color="auto"/>
              <w:right w:val="single" w:sz="4" w:space="0" w:color="auto"/>
            </w:tcBorders>
            <w:shd w:val="clear" w:color="000000" w:fill="FFFFFF"/>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w:t>
            </w:r>
          </w:p>
        </w:tc>
        <w:tc>
          <w:tcPr>
            <w:tcW w:w="214"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w:t>
            </w:r>
          </w:p>
        </w:tc>
        <w:tc>
          <w:tcPr>
            <w:tcW w:w="268" w:type="pct"/>
            <w:tcBorders>
              <w:top w:val="nil"/>
              <w:left w:val="nil"/>
              <w:bottom w:val="single" w:sz="4" w:space="0" w:color="auto"/>
              <w:right w:val="single" w:sz="4" w:space="0" w:color="auto"/>
            </w:tcBorders>
            <w:shd w:val="clear" w:color="auto" w:fill="auto"/>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w:t>
            </w:r>
          </w:p>
        </w:tc>
      </w:tr>
      <w:tr w:rsidR="005F4B47" w:rsidRPr="005F4B47" w:rsidTr="005F4B47">
        <w:trPr>
          <w:trHeight w:val="264"/>
        </w:trPr>
        <w:tc>
          <w:tcPr>
            <w:tcW w:w="938" w:type="pct"/>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5F4B47" w:rsidRPr="005F4B47" w:rsidRDefault="005F4B47" w:rsidP="005F4B47">
            <w:pPr>
              <w:rPr>
                <w:rFonts w:asciiTheme="minorHAnsi" w:hAnsiTheme="minorHAnsi" w:cstheme="minorHAnsi"/>
                <w:b/>
                <w:bCs/>
                <w:color w:val="000000"/>
                <w:sz w:val="18"/>
                <w:szCs w:val="18"/>
                <w:lang w:eastAsia="en-GB"/>
              </w:rPr>
            </w:pPr>
            <w:r w:rsidRPr="005F4B47">
              <w:rPr>
                <w:rFonts w:asciiTheme="minorHAnsi" w:hAnsiTheme="minorHAnsi" w:cstheme="minorHAnsi"/>
                <w:b/>
                <w:bCs/>
                <w:color w:val="000000"/>
                <w:sz w:val="18"/>
                <w:szCs w:val="18"/>
                <w:lang w:eastAsia="en-GB"/>
              </w:rPr>
              <w:t>EXECUTIVE / SENIOR MANAGERS (TOTAL)</w:t>
            </w:r>
          </w:p>
        </w:tc>
        <w:tc>
          <w:tcPr>
            <w:tcW w:w="1464"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ind w:firstLineChars="100" w:firstLine="180"/>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w:t>
            </w:r>
          </w:p>
        </w:tc>
        <w:tc>
          <w:tcPr>
            <w:tcW w:w="214"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8</w:t>
            </w:r>
          </w:p>
        </w:tc>
        <w:tc>
          <w:tcPr>
            <w:tcW w:w="268"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57.99 </w:t>
            </w:r>
          </w:p>
        </w:tc>
        <w:tc>
          <w:tcPr>
            <w:tcW w:w="270"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66.67%</w:t>
            </w:r>
          </w:p>
        </w:tc>
        <w:tc>
          <w:tcPr>
            <w:tcW w:w="214"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4</w:t>
            </w:r>
          </w:p>
        </w:tc>
        <w:tc>
          <w:tcPr>
            <w:tcW w:w="268"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cente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57.17 </w:t>
            </w:r>
          </w:p>
        </w:tc>
        <w:tc>
          <w:tcPr>
            <w:tcW w:w="270"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33.33%</w:t>
            </w:r>
          </w:p>
        </w:tc>
        <w:tc>
          <w:tcPr>
            <w:tcW w:w="307"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0.81 </w:t>
            </w:r>
          </w:p>
        </w:tc>
        <w:tc>
          <w:tcPr>
            <w:tcW w:w="304"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-1.42%</w:t>
            </w:r>
          </w:p>
        </w:tc>
        <w:tc>
          <w:tcPr>
            <w:tcW w:w="214"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jc w:val="right"/>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12</w:t>
            </w:r>
          </w:p>
        </w:tc>
        <w:tc>
          <w:tcPr>
            <w:tcW w:w="268" w:type="pct"/>
            <w:tcBorders>
              <w:top w:val="nil"/>
              <w:left w:val="nil"/>
              <w:bottom w:val="single" w:sz="4" w:space="0" w:color="auto"/>
              <w:right w:val="single" w:sz="4" w:space="0" w:color="auto"/>
            </w:tcBorders>
            <w:shd w:val="clear" w:color="000000" w:fill="DBE5F1"/>
            <w:noWrap/>
            <w:vAlign w:val="bottom"/>
            <w:hideMark/>
          </w:tcPr>
          <w:p w:rsidR="005F4B47" w:rsidRPr="005F4B47" w:rsidRDefault="005F4B47" w:rsidP="005F4B47">
            <w:pPr>
              <w:rPr>
                <w:rFonts w:asciiTheme="minorHAnsi" w:hAnsiTheme="minorHAnsi" w:cstheme="minorHAnsi"/>
                <w:color w:val="000000"/>
                <w:sz w:val="18"/>
                <w:szCs w:val="18"/>
                <w:lang w:eastAsia="en-GB"/>
              </w:rPr>
            </w:pPr>
            <w:r w:rsidRPr="005F4B47">
              <w:rPr>
                <w:rFonts w:asciiTheme="minorHAnsi" w:hAnsiTheme="minorHAnsi" w:cstheme="minorHAnsi"/>
                <w:color w:val="000000"/>
                <w:sz w:val="18"/>
                <w:szCs w:val="18"/>
                <w:lang w:eastAsia="en-GB"/>
              </w:rPr>
              <w:t xml:space="preserve"> £  57.71 </w:t>
            </w:r>
          </w:p>
        </w:tc>
      </w:tr>
    </w:tbl>
    <w:p w:rsidR="005F4B47" w:rsidRDefault="005F4B47" w:rsidP="00D57806"/>
    <w:sectPr w:rsidR="005F4B47" w:rsidSect="00D57806">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4E" w:rsidRDefault="0062524E" w:rsidP="007C4E44">
      <w:r>
        <w:separator/>
      </w:r>
    </w:p>
  </w:endnote>
  <w:endnote w:type="continuationSeparator" w:id="0">
    <w:p w:rsidR="0062524E" w:rsidRDefault="0062524E" w:rsidP="007C4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4E" w:rsidRDefault="0062524E" w:rsidP="007C4E44">
      <w:r>
        <w:separator/>
      </w:r>
    </w:p>
  </w:footnote>
  <w:footnote w:type="continuationSeparator" w:id="0">
    <w:p w:rsidR="0062524E" w:rsidRDefault="0062524E" w:rsidP="007C4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A2" w:rsidRDefault="002E3B55">
    <w:pPr>
      <w:pStyle w:val="Header"/>
    </w:pPr>
    <w:r>
      <w:t>Appendix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6A6"/>
    <w:multiLevelType w:val="hybridMultilevel"/>
    <w:tmpl w:val="4544A430"/>
    <w:lvl w:ilvl="0" w:tplc="4EAC81A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6002D9"/>
    <w:multiLevelType w:val="hybridMultilevel"/>
    <w:tmpl w:val="EC4CCB1C"/>
    <w:lvl w:ilvl="0" w:tplc="E7C043F8">
      <w:start w:val="10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39BD436F"/>
    <w:multiLevelType w:val="hybridMultilevel"/>
    <w:tmpl w:val="5DF4E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760C94"/>
    <w:multiLevelType w:val="hybridMultilevel"/>
    <w:tmpl w:val="6CD23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D26C2A"/>
    <w:multiLevelType w:val="hybridMultilevel"/>
    <w:tmpl w:val="4544A430"/>
    <w:lvl w:ilvl="0" w:tplc="4EAC81A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94353A"/>
    <w:rsid w:val="00015E36"/>
    <w:rsid w:val="000603DF"/>
    <w:rsid w:val="0006071F"/>
    <w:rsid w:val="00061074"/>
    <w:rsid w:val="0006304A"/>
    <w:rsid w:val="00070AD9"/>
    <w:rsid w:val="00071887"/>
    <w:rsid w:val="000929CD"/>
    <w:rsid w:val="000B3717"/>
    <w:rsid w:val="000D0415"/>
    <w:rsid w:val="000F038C"/>
    <w:rsid w:val="000F1C6E"/>
    <w:rsid w:val="000F2632"/>
    <w:rsid w:val="00103769"/>
    <w:rsid w:val="00103A35"/>
    <w:rsid w:val="0011314C"/>
    <w:rsid w:val="00133C0E"/>
    <w:rsid w:val="00142F84"/>
    <w:rsid w:val="001600E0"/>
    <w:rsid w:val="00183E63"/>
    <w:rsid w:val="00191703"/>
    <w:rsid w:val="00193004"/>
    <w:rsid w:val="001C7A58"/>
    <w:rsid w:val="001D41AB"/>
    <w:rsid w:val="001F618F"/>
    <w:rsid w:val="00232C61"/>
    <w:rsid w:val="002355F6"/>
    <w:rsid w:val="00243FD2"/>
    <w:rsid w:val="002575D5"/>
    <w:rsid w:val="00270C10"/>
    <w:rsid w:val="002A4F90"/>
    <w:rsid w:val="002D1E7D"/>
    <w:rsid w:val="002E3B55"/>
    <w:rsid w:val="002F4C61"/>
    <w:rsid w:val="003026FF"/>
    <w:rsid w:val="00311FA5"/>
    <w:rsid w:val="003432B6"/>
    <w:rsid w:val="003647D2"/>
    <w:rsid w:val="00376056"/>
    <w:rsid w:val="00383C4D"/>
    <w:rsid w:val="00383D9B"/>
    <w:rsid w:val="0039082A"/>
    <w:rsid w:val="003962A2"/>
    <w:rsid w:val="003A04D5"/>
    <w:rsid w:val="003A5A55"/>
    <w:rsid w:val="003B6A1D"/>
    <w:rsid w:val="003B7BBA"/>
    <w:rsid w:val="003D634D"/>
    <w:rsid w:val="003F2646"/>
    <w:rsid w:val="0040798E"/>
    <w:rsid w:val="00413A5E"/>
    <w:rsid w:val="004213D1"/>
    <w:rsid w:val="0045048D"/>
    <w:rsid w:val="00463403"/>
    <w:rsid w:val="004B051F"/>
    <w:rsid w:val="004B2E36"/>
    <w:rsid w:val="004C468B"/>
    <w:rsid w:val="004C47B4"/>
    <w:rsid w:val="004C58A1"/>
    <w:rsid w:val="00507515"/>
    <w:rsid w:val="00517B06"/>
    <w:rsid w:val="00533FE3"/>
    <w:rsid w:val="0054163F"/>
    <w:rsid w:val="005451BD"/>
    <w:rsid w:val="00563905"/>
    <w:rsid w:val="005947B9"/>
    <w:rsid w:val="005A3F6D"/>
    <w:rsid w:val="005C18AC"/>
    <w:rsid w:val="005C3AFB"/>
    <w:rsid w:val="005D3A92"/>
    <w:rsid w:val="005E32A6"/>
    <w:rsid w:val="005F4B47"/>
    <w:rsid w:val="00606215"/>
    <w:rsid w:val="0061778F"/>
    <w:rsid w:val="0062524E"/>
    <w:rsid w:val="00632C6B"/>
    <w:rsid w:val="006A1820"/>
    <w:rsid w:val="006A3C1A"/>
    <w:rsid w:val="006B1795"/>
    <w:rsid w:val="006C24E0"/>
    <w:rsid w:val="006C41A2"/>
    <w:rsid w:val="006F4D61"/>
    <w:rsid w:val="007041D7"/>
    <w:rsid w:val="00715E75"/>
    <w:rsid w:val="0072023C"/>
    <w:rsid w:val="00731BF8"/>
    <w:rsid w:val="007427D9"/>
    <w:rsid w:val="007442EE"/>
    <w:rsid w:val="00751BB7"/>
    <w:rsid w:val="007560D0"/>
    <w:rsid w:val="00770B88"/>
    <w:rsid w:val="00774417"/>
    <w:rsid w:val="00780CF1"/>
    <w:rsid w:val="0078251E"/>
    <w:rsid w:val="00790A17"/>
    <w:rsid w:val="007C0D86"/>
    <w:rsid w:val="007C4E44"/>
    <w:rsid w:val="007F5963"/>
    <w:rsid w:val="00821AB1"/>
    <w:rsid w:val="00823654"/>
    <w:rsid w:val="00851063"/>
    <w:rsid w:val="00860F18"/>
    <w:rsid w:val="008B3F0F"/>
    <w:rsid w:val="008B413F"/>
    <w:rsid w:val="008B45E2"/>
    <w:rsid w:val="008B780C"/>
    <w:rsid w:val="008E376D"/>
    <w:rsid w:val="008E5E72"/>
    <w:rsid w:val="00906AB3"/>
    <w:rsid w:val="00933356"/>
    <w:rsid w:val="00936007"/>
    <w:rsid w:val="0094312C"/>
    <w:rsid w:val="0094353A"/>
    <w:rsid w:val="009745A1"/>
    <w:rsid w:val="009748E9"/>
    <w:rsid w:val="009A2848"/>
    <w:rsid w:val="009D1FF1"/>
    <w:rsid w:val="009D521B"/>
    <w:rsid w:val="009D7023"/>
    <w:rsid w:val="009E02EF"/>
    <w:rsid w:val="00A04844"/>
    <w:rsid w:val="00A159E9"/>
    <w:rsid w:val="00A25A0C"/>
    <w:rsid w:val="00A81670"/>
    <w:rsid w:val="00A9736F"/>
    <w:rsid w:val="00B0559F"/>
    <w:rsid w:val="00B44DAF"/>
    <w:rsid w:val="00B523CA"/>
    <w:rsid w:val="00B85F3F"/>
    <w:rsid w:val="00B86AFD"/>
    <w:rsid w:val="00B86F77"/>
    <w:rsid w:val="00B91A91"/>
    <w:rsid w:val="00BA2252"/>
    <w:rsid w:val="00BB30AD"/>
    <w:rsid w:val="00BB44FA"/>
    <w:rsid w:val="00BB78BE"/>
    <w:rsid w:val="00BD2E3D"/>
    <w:rsid w:val="00BF003A"/>
    <w:rsid w:val="00BF4785"/>
    <w:rsid w:val="00BF60FF"/>
    <w:rsid w:val="00C2640B"/>
    <w:rsid w:val="00C46992"/>
    <w:rsid w:val="00C52174"/>
    <w:rsid w:val="00C63F7D"/>
    <w:rsid w:val="00C81338"/>
    <w:rsid w:val="00CA1123"/>
    <w:rsid w:val="00CD5EE8"/>
    <w:rsid w:val="00CE4296"/>
    <w:rsid w:val="00CE68EC"/>
    <w:rsid w:val="00CF2397"/>
    <w:rsid w:val="00D35EFE"/>
    <w:rsid w:val="00D40F44"/>
    <w:rsid w:val="00D4257B"/>
    <w:rsid w:val="00D45C4D"/>
    <w:rsid w:val="00D577EE"/>
    <w:rsid w:val="00D57806"/>
    <w:rsid w:val="00D636DB"/>
    <w:rsid w:val="00D84D92"/>
    <w:rsid w:val="00D935BE"/>
    <w:rsid w:val="00DB5F79"/>
    <w:rsid w:val="00DB7F55"/>
    <w:rsid w:val="00DC06FF"/>
    <w:rsid w:val="00DE7FF8"/>
    <w:rsid w:val="00E04E46"/>
    <w:rsid w:val="00E04E9A"/>
    <w:rsid w:val="00E23A3B"/>
    <w:rsid w:val="00E6329C"/>
    <w:rsid w:val="00E6409C"/>
    <w:rsid w:val="00E71AE5"/>
    <w:rsid w:val="00E85E61"/>
    <w:rsid w:val="00EF14D1"/>
    <w:rsid w:val="00F04512"/>
    <w:rsid w:val="00F156F2"/>
    <w:rsid w:val="00F17060"/>
    <w:rsid w:val="00F179D2"/>
    <w:rsid w:val="00F241BC"/>
    <w:rsid w:val="00F25773"/>
    <w:rsid w:val="00F40DE6"/>
    <w:rsid w:val="00F67198"/>
    <w:rsid w:val="00F773E8"/>
    <w:rsid w:val="00F90B4E"/>
    <w:rsid w:val="00FA0114"/>
    <w:rsid w:val="00FE3339"/>
    <w:rsid w:val="00FE7323"/>
    <w:rsid w:val="00FF77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3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E44"/>
    <w:pPr>
      <w:tabs>
        <w:tab w:val="center" w:pos="4513"/>
        <w:tab w:val="right" w:pos="9026"/>
      </w:tabs>
    </w:pPr>
  </w:style>
  <w:style w:type="character" w:customStyle="1" w:styleId="HeaderChar">
    <w:name w:val="Header Char"/>
    <w:basedOn w:val="DefaultParagraphFont"/>
    <w:link w:val="Header"/>
    <w:uiPriority w:val="99"/>
    <w:rsid w:val="007C4E44"/>
    <w:rPr>
      <w:rFonts w:ascii="Arial" w:eastAsia="Times New Roman" w:hAnsi="Arial" w:cs="Times New Roman"/>
      <w:sz w:val="24"/>
      <w:szCs w:val="20"/>
    </w:rPr>
  </w:style>
  <w:style w:type="paragraph" w:styleId="Footer">
    <w:name w:val="footer"/>
    <w:basedOn w:val="Normal"/>
    <w:link w:val="FooterChar"/>
    <w:uiPriority w:val="99"/>
    <w:semiHidden/>
    <w:unhideWhenUsed/>
    <w:rsid w:val="007C4E44"/>
    <w:pPr>
      <w:tabs>
        <w:tab w:val="center" w:pos="4513"/>
        <w:tab w:val="right" w:pos="9026"/>
      </w:tabs>
    </w:pPr>
  </w:style>
  <w:style w:type="character" w:customStyle="1" w:styleId="FooterChar">
    <w:name w:val="Footer Char"/>
    <w:basedOn w:val="DefaultParagraphFont"/>
    <w:link w:val="Footer"/>
    <w:uiPriority w:val="99"/>
    <w:semiHidden/>
    <w:rsid w:val="007C4E4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C4E44"/>
    <w:rPr>
      <w:rFonts w:ascii="Tahoma" w:hAnsi="Tahoma" w:cs="Tahoma"/>
      <w:sz w:val="16"/>
      <w:szCs w:val="16"/>
    </w:rPr>
  </w:style>
  <w:style w:type="character" w:customStyle="1" w:styleId="BalloonTextChar">
    <w:name w:val="Balloon Text Char"/>
    <w:basedOn w:val="DefaultParagraphFont"/>
    <w:link w:val="BalloonText"/>
    <w:uiPriority w:val="99"/>
    <w:semiHidden/>
    <w:rsid w:val="007C4E44"/>
    <w:rPr>
      <w:rFonts w:ascii="Tahoma" w:eastAsia="Times New Roman" w:hAnsi="Tahoma" w:cs="Tahoma"/>
      <w:sz w:val="16"/>
      <w:szCs w:val="16"/>
    </w:rPr>
  </w:style>
  <w:style w:type="paragraph" w:styleId="ListParagraph">
    <w:name w:val="List Paragraph"/>
    <w:basedOn w:val="Normal"/>
    <w:uiPriority w:val="34"/>
    <w:qFormat/>
    <w:rsid w:val="00F156F2"/>
    <w:pPr>
      <w:ind w:left="720"/>
      <w:contextualSpacing/>
    </w:pPr>
  </w:style>
  <w:style w:type="character" w:styleId="Hyperlink">
    <w:name w:val="Hyperlink"/>
    <w:basedOn w:val="DefaultParagraphFont"/>
    <w:uiPriority w:val="99"/>
    <w:semiHidden/>
    <w:unhideWhenUsed/>
    <w:rsid w:val="00D57806"/>
    <w:rPr>
      <w:color w:val="0000FF"/>
      <w:u w:val="single"/>
    </w:rPr>
  </w:style>
  <w:style w:type="character" w:styleId="FollowedHyperlink">
    <w:name w:val="FollowedHyperlink"/>
    <w:basedOn w:val="DefaultParagraphFont"/>
    <w:uiPriority w:val="99"/>
    <w:semiHidden/>
    <w:unhideWhenUsed/>
    <w:rsid w:val="00D57806"/>
    <w:rPr>
      <w:color w:val="800080"/>
      <w:u w:val="single"/>
    </w:rPr>
  </w:style>
  <w:style w:type="paragraph" w:customStyle="1" w:styleId="xl63">
    <w:name w:val="xl63"/>
    <w:basedOn w:val="Normal"/>
    <w:rsid w:val="00D57806"/>
    <w:pPr>
      <w:spacing w:before="100" w:beforeAutospacing="1" w:after="100" w:afterAutospacing="1"/>
    </w:pPr>
    <w:rPr>
      <w:rFonts w:cs="Arial"/>
      <w:sz w:val="20"/>
      <w:lang w:eastAsia="en-GB"/>
    </w:rPr>
  </w:style>
  <w:style w:type="paragraph" w:customStyle="1" w:styleId="xl64">
    <w:name w:val="xl64"/>
    <w:basedOn w:val="Normal"/>
    <w:rsid w:val="00D57806"/>
    <w:pPr>
      <w:spacing w:before="100" w:beforeAutospacing="1" w:after="100" w:afterAutospacing="1"/>
    </w:pPr>
    <w:rPr>
      <w:rFonts w:cs="Arial"/>
      <w:b/>
      <w:bCs/>
      <w:sz w:val="20"/>
      <w:lang w:eastAsia="en-GB"/>
    </w:rPr>
  </w:style>
  <w:style w:type="paragraph" w:customStyle="1" w:styleId="xl65">
    <w:name w:val="xl65"/>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eastAsia="en-GB"/>
    </w:rPr>
  </w:style>
  <w:style w:type="paragraph" w:customStyle="1" w:styleId="xl66">
    <w:name w:val="xl66"/>
    <w:basedOn w:val="Normal"/>
    <w:rsid w:val="00D57806"/>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rPr>
      <w:rFonts w:cs="Arial"/>
      <w:b/>
      <w:bCs/>
      <w:sz w:val="20"/>
      <w:lang w:eastAsia="en-GB"/>
    </w:rPr>
  </w:style>
  <w:style w:type="paragraph" w:customStyle="1" w:styleId="xl67">
    <w:name w:val="xl67"/>
    <w:basedOn w:val="Normal"/>
    <w:rsid w:val="00D5780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20"/>
      <w:lang w:eastAsia="en-GB"/>
    </w:rPr>
  </w:style>
  <w:style w:type="paragraph" w:customStyle="1" w:styleId="xl68">
    <w:name w:val="xl68"/>
    <w:basedOn w:val="Normal"/>
    <w:rsid w:val="00D57806"/>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lang w:eastAsia="en-GB"/>
    </w:rPr>
  </w:style>
  <w:style w:type="paragraph" w:customStyle="1" w:styleId="xl69">
    <w:name w:val="xl69"/>
    <w:basedOn w:val="Normal"/>
    <w:rsid w:val="00D57806"/>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lang w:eastAsia="en-GB"/>
    </w:rPr>
  </w:style>
  <w:style w:type="paragraph" w:customStyle="1" w:styleId="xl70">
    <w:name w:val="xl70"/>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en-GB"/>
    </w:rPr>
  </w:style>
  <w:style w:type="paragraph" w:customStyle="1" w:styleId="xl71">
    <w:name w:val="xl71"/>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lang w:eastAsia="en-GB"/>
    </w:rPr>
  </w:style>
  <w:style w:type="paragraph" w:customStyle="1" w:styleId="xl72">
    <w:name w:val="xl72"/>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en-GB"/>
    </w:rPr>
  </w:style>
  <w:style w:type="paragraph" w:customStyle="1" w:styleId="xl73">
    <w:name w:val="xl73"/>
    <w:basedOn w:val="Normal"/>
    <w:rsid w:val="00D57806"/>
    <w:pPr>
      <w:pBdr>
        <w:left w:val="single" w:sz="4" w:space="0" w:color="auto"/>
        <w:right w:val="single" w:sz="4" w:space="0" w:color="auto"/>
      </w:pBdr>
      <w:spacing w:before="100" w:beforeAutospacing="1" w:after="100" w:afterAutospacing="1"/>
    </w:pPr>
    <w:rPr>
      <w:rFonts w:ascii="Times New Roman" w:hAnsi="Times New Roman"/>
      <w:szCs w:val="24"/>
      <w:lang w:eastAsia="en-GB"/>
    </w:rPr>
  </w:style>
  <w:style w:type="paragraph" w:customStyle="1" w:styleId="xl74">
    <w:name w:val="xl74"/>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en-GB"/>
    </w:rPr>
  </w:style>
  <w:style w:type="paragraph" w:customStyle="1" w:styleId="xl75">
    <w:name w:val="xl75"/>
    <w:basedOn w:val="Normal"/>
    <w:rsid w:val="00D57806"/>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en-GB"/>
    </w:rPr>
  </w:style>
  <w:style w:type="paragraph" w:customStyle="1" w:styleId="xl76">
    <w:name w:val="xl76"/>
    <w:basedOn w:val="Normal"/>
    <w:rsid w:val="00D57806"/>
    <w:pPr>
      <w:pBdr>
        <w:top w:val="single" w:sz="4" w:space="0" w:color="auto"/>
        <w:left w:val="single" w:sz="4" w:space="0" w:color="auto"/>
        <w:bottom w:val="single" w:sz="4" w:space="0" w:color="auto"/>
      </w:pBdr>
      <w:spacing w:before="100" w:beforeAutospacing="1" w:after="100" w:afterAutospacing="1"/>
    </w:pPr>
    <w:rPr>
      <w:rFonts w:cs="Arial"/>
      <w:b/>
      <w:bCs/>
      <w:sz w:val="20"/>
      <w:lang w:eastAsia="en-GB"/>
    </w:rPr>
  </w:style>
  <w:style w:type="paragraph" w:customStyle="1" w:styleId="xl77">
    <w:name w:val="xl77"/>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eastAsia="en-GB"/>
    </w:rPr>
  </w:style>
  <w:style w:type="paragraph" w:customStyle="1" w:styleId="xl78">
    <w:name w:val="xl78"/>
    <w:basedOn w:val="Normal"/>
    <w:rsid w:val="00D57806"/>
    <w:pPr>
      <w:pBdr>
        <w:left w:val="single" w:sz="4" w:space="0" w:color="auto"/>
        <w:bottom w:val="single" w:sz="4" w:space="0" w:color="auto"/>
      </w:pBdr>
      <w:spacing w:before="100" w:beforeAutospacing="1" w:after="100" w:afterAutospacing="1"/>
    </w:pPr>
    <w:rPr>
      <w:rFonts w:ascii="Times New Roman" w:hAnsi="Times New Roman"/>
      <w:szCs w:val="24"/>
      <w:lang w:eastAsia="en-GB"/>
    </w:rPr>
  </w:style>
  <w:style w:type="paragraph" w:customStyle="1" w:styleId="xl79">
    <w:name w:val="xl79"/>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en-GB"/>
    </w:rPr>
  </w:style>
  <w:style w:type="paragraph" w:customStyle="1" w:styleId="xl80">
    <w:name w:val="xl80"/>
    <w:basedOn w:val="Normal"/>
    <w:rsid w:val="00D57806"/>
    <w:pPr>
      <w:pBdr>
        <w:top w:val="single" w:sz="4" w:space="0" w:color="auto"/>
        <w:bottom w:val="single" w:sz="4" w:space="0" w:color="auto"/>
      </w:pBdr>
      <w:spacing w:before="100" w:beforeAutospacing="1" w:after="100" w:afterAutospacing="1"/>
    </w:pPr>
    <w:rPr>
      <w:rFonts w:cs="Arial"/>
      <w:b/>
      <w:bCs/>
      <w:sz w:val="20"/>
      <w:lang w:eastAsia="en-GB"/>
    </w:rPr>
  </w:style>
  <w:style w:type="paragraph" w:customStyle="1" w:styleId="xl81">
    <w:name w:val="xl81"/>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0"/>
      <w:lang w:eastAsia="en-GB"/>
    </w:rPr>
  </w:style>
  <w:style w:type="paragraph" w:customStyle="1" w:styleId="xl82">
    <w:name w:val="xl82"/>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en-GB"/>
    </w:rPr>
  </w:style>
  <w:style w:type="paragraph" w:customStyle="1" w:styleId="xl83">
    <w:name w:val="xl83"/>
    <w:basedOn w:val="Normal"/>
    <w:rsid w:val="00D57806"/>
    <w:pPr>
      <w:pBdr>
        <w:top w:val="single" w:sz="4" w:space="0" w:color="auto"/>
        <w:left w:val="single" w:sz="4" w:space="0" w:color="auto"/>
      </w:pBdr>
      <w:spacing w:before="100" w:beforeAutospacing="1" w:after="100" w:afterAutospacing="1"/>
    </w:pPr>
    <w:rPr>
      <w:rFonts w:ascii="Times New Roman" w:hAnsi="Times New Roman"/>
      <w:szCs w:val="24"/>
      <w:lang w:eastAsia="en-GB"/>
    </w:rPr>
  </w:style>
  <w:style w:type="paragraph" w:customStyle="1" w:styleId="xl84">
    <w:name w:val="xl84"/>
    <w:basedOn w:val="Normal"/>
    <w:rsid w:val="00D57806"/>
    <w:pPr>
      <w:pBdr>
        <w:top w:val="single" w:sz="4" w:space="0" w:color="auto"/>
        <w:left w:val="single" w:sz="4" w:space="0" w:color="auto"/>
        <w:bottom w:val="single" w:sz="4" w:space="0" w:color="auto"/>
      </w:pBdr>
      <w:shd w:val="clear" w:color="000000" w:fill="DBE5F1"/>
      <w:spacing w:before="100" w:beforeAutospacing="1" w:after="100" w:afterAutospacing="1"/>
    </w:pPr>
    <w:rPr>
      <w:rFonts w:cs="Arial"/>
      <w:b/>
      <w:bCs/>
      <w:sz w:val="20"/>
      <w:lang w:eastAsia="en-GB"/>
    </w:rPr>
  </w:style>
  <w:style w:type="paragraph" w:customStyle="1" w:styleId="xl85">
    <w:name w:val="xl85"/>
    <w:basedOn w:val="Normal"/>
    <w:rsid w:val="00D57806"/>
    <w:pPr>
      <w:pBdr>
        <w:top w:val="single" w:sz="4" w:space="0" w:color="auto"/>
        <w:bottom w:val="single" w:sz="4" w:space="0" w:color="auto"/>
      </w:pBdr>
      <w:shd w:val="clear" w:color="000000" w:fill="DBE5F1"/>
      <w:spacing w:before="100" w:beforeAutospacing="1" w:after="100" w:afterAutospacing="1"/>
    </w:pPr>
    <w:rPr>
      <w:rFonts w:cs="Arial"/>
      <w:b/>
      <w:bCs/>
      <w:sz w:val="20"/>
      <w:lang w:eastAsia="en-GB"/>
    </w:rPr>
  </w:style>
  <w:style w:type="paragraph" w:customStyle="1" w:styleId="xl86">
    <w:name w:val="xl86"/>
    <w:basedOn w:val="Normal"/>
    <w:rsid w:val="00D578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cs="Arial"/>
      <w:b/>
      <w:bCs/>
      <w:sz w:val="20"/>
      <w:lang w:eastAsia="en-GB"/>
    </w:rPr>
  </w:style>
  <w:style w:type="paragraph" w:customStyle="1" w:styleId="xl87">
    <w:name w:val="xl87"/>
    <w:basedOn w:val="Normal"/>
    <w:rsid w:val="00D578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cs="Arial"/>
      <w:b/>
      <w:bCs/>
      <w:sz w:val="20"/>
      <w:lang w:eastAsia="en-GB"/>
    </w:rPr>
  </w:style>
  <w:style w:type="paragraph" w:customStyle="1" w:styleId="xl88">
    <w:name w:val="xl88"/>
    <w:basedOn w:val="Normal"/>
    <w:rsid w:val="00D578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cs="Arial"/>
      <w:b/>
      <w:bCs/>
      <w:sz w:val="20"/>
      <w:lang w:eastAsia="en-GB"/>
    </w:rPr>
  </w:style>
  <w:style w:type="paragraph" w:customStyle="1" w:styleId="xl89">
    <w:name w:val="xl89"/>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en-GB"/>
    </w:rPr>
  </w:style>
  <w:style w:type="paragraph" w:customStyle="1" w:styleId="xl90">
    <w:name w:val="xl90"/>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en-GB"/>
    </w:rPr>
  </w:style>
  <w:style w:type="paragraph" w:customStyle="1" w:styleId="xl91">
    <w:name w:val="xl91"/>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en-GB"/>
    </w:rPr>
  </w:style>
  <w:style w:type="paragraph" w:customStyle="1" w:styleId="xl92">
    <w:name w:val="xl92"/>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en-GB"/>
    </w:rPr>
  </w:style>
  <w:style w:type="paragraph" w:customStyle="1" w:styleId="xl93">
    <w:name w:val="xl93"/>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en-GB"/>
    </w:rPr>
  </w:style>
  <w:style w:type="paragraph" w:customStyle="1" w:styleId="xl94">
    <w:name w:val="xl94"/>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en-GB"/>
    </w:rPr>
  </w:style>
  <w:style w:type="paragraph" w:customStyle="1" w:styleId="xl95">
    <w:name w:val="xl95"/>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en-GB"/>
    </w:rPr>
  </w:style>
  <w:style w:type="paragraph" w:customStyle="1" w:styleId="xl96">
    <w:name w:val="xl96"/>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en-GB"/>
    </w:rPr>
  </w:style>
  <w:style w:type="paragraph" w:customStyle="1" w:styleId="xl97">
    <w:name w:val="xl97"/>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en-GB"/>
    </w:rPr>
  </w:style>
  <w:style w:type="paragraph" w:customStyle="1" w:styleId="xl98">
    <w:name w:val="xl98"/>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en-GB"/>
    </w:rPr>
  </w:style>
  <w:style w:type="paragraph" w:customStyle="1" w:styleId="xl99">
    <w:name w:val="xl99"/>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Cs w:val="24"/>
      <w:lang w:eastAsia="en-GB"/>
    </w:rPr>
  </w:style>
  <w:style w:type="paragraph" w:customStyle="1" w:styleId="xl100">
    <w:name w:val="xl100"/>
    <w:basedOn w:val="Normal"/>
    <w:rsid w:val="00D57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Cs w:val="24"/>
      <w:lang w:eastAsia="en-GB"/>
    </w:rPr>
  </w:style>
  <w:style w:type="paragraph" w:customStyle="1" w:styleId="xl101">
    <w:name w:val="xl101"/>
    <w:basedOn w:val="Normal"/>
    <w:rsid w:val="00D57806"/>
    <w:pPr>
      <w:pBdr>
        <w:top w:val="single" w:sz="4" w:space="0" w:color="auto"/>
        <w:left w:val="single" w:sz="4" w:space="0" w:color="auto"/>
        <w:bottom w:val="single" w:sz="4" w:space="0" w:color="auto"/>
      </w:pBdr>
      <w:shd w:val="clear" w:color="000000" w:fill="DBE5F1"/>
      <w:spacing w:before="100" w:beforeAutospacing="1" w:after="100" w:afterAutospacing="1"/>
      <w:jc w:val="center"/>
    </w:pPr>
    <w:rPr>
      <w:rFonts w:ascii="Times New Roman" w:hAnsi="Times New Roman"/>
      <w:szCs w:val="24"/>
      <w:lang w:eastAsia="en-GB"/>
    </w:rPr>
  </w:style>
  <w:style w:type="paragraph" w:customStyle="1" w:styleId="xl102">
    <w:name w:val="xl102"/>
    <w:basedOn w:val="Normal"/>
    <w:rsid w:val="00D57806"/>
    <w:pPr>
      <w:pBdr>
        <w:top w:val="single" w:sz="4" w:space="0" w:color="auto"/>
        <w:bottom w:val="single" w:sz="4" w:space="0" w:color="auto"/>
      </w:pBdr>
      <w:shd w:val="clear" w:color="000000" w:fill="DBE5F1"/>
      <w:spacing w:before="100" w:beforeAutospacing="1" w:after="100" w:afterAutospacing="1"/>
      <w:jc w:val="center"/>
    </w:pPr>
    <w:rPr>
      <w:rFonts w:ascii="Times New Roman" w:hAnsi="Times New Roman"/>
      <w:szCs w:val="24"/>
      <w:lang w:eastAsia="en-GB"/>
    </w:rPr>
  </w:style>
  <w:style w:type="paragraph" w:customStyle="1" w:styleId="xl103">
    <w:name w:val="xl103"/>
    <w:basedOn w:val="Normal"/>
    <w:rsid w:val="00D57806"/>
    <w:pPr>
      <w:pBdr>
        <w:top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hAnsi="Times New Roman"/>
      <w:szCs w:val="24"/>
      <w:lang w:eastAsia="en-GB"/>
    </w:rPr>
  </w:style>
  <w:style w:type="table" w:styleId="TableGrid">
    <w:name w:val="Table Grid"/>
    <w:basedOn w:val="TableNormal"/>
    <w:uiPriority w:val="59"/>
    <w:rsid w:val="000B3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E3B55"/>
    <w:rPr>
      <w:sz w:val="16"/>
      <w:szCs w:val="16"/>
    </w:rPr>
  </w:style>
  <w:style w:type="paragraph" w:styleId="CommentText">
    <w:name w:val="annotation text"/>
    <w:basedOn w:val="Normal"/>
    <w:link w:val="CommentTextChar"/>
    <w:uiPriority w:val="99"/>
    <w:semiHidden/>
    <w:unhideWhenUsed/>
    <w:rsid w:val="002E3B55"/>
    <w:rPr>
      <w:sz w:val="20"/>
    </w:rPr>
  </w:style>
  <w:style w:type="character" w:customStyle="1" w:styleId="CommentTextChar">
    <w:name w:val="Comment Text Char"/>
    <w:basedOn w:val="DefaultParagraphFont"/>
    <w:link w:val="CommentText"/>
    <w:uiPriority w:val="99"/>
    <w:semiHidden/>
    <w:rsid w:val="002E3B5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3B55"/>
    <w:rPr>
      <w:b/>
      <w:bCs/>
    </w:rPr>
  </w:style>
  <w:style w:type="character" w:customStyle="1" w:styleId="CommentSubjectChar">
    <w:name w:val="Comment Subject Char"/>
    <w:basedOn w:val="CommentTextChar"/>
    <w:link w:val="CommentSubject"/>
    <w:uiPriority w:val="99"/>
    <w:semiHidden/>
    <w:rsid w:val="002E3B55"/>
    <w:rPr>
      <w:b/>
      <w:bCs/>
    </w:rPr>
  </w:style>
</w:styles>
</file>

<file path=word/webSettings.xml><?xml version="1.0" encoding="utf-8"?>
<w:webSettings xmlns:r="http://schemas.openxmlformats.org/officeDocument/2006/relationships" xmlns:w="http://schemas.openxmlformats.org/wordprocessingml/2006/main">
  <w:divs>
    <w:div w:id="186136920">
      <w:bodyDiv w:val="1"/>
      <w:marLeft w:val="0"/>
      <w:marRight w:val="0"/>
      <w:marTop w:val="0"/>
      <w:marBottom w:val="0"/>
      <w:divBdr>
        <w:top w:val="none" w:sz="0" w:space="0" w:color="auto"/>
        <w:left w:val="none" w:sz="0" w:space="0" w:color="auto"/>
        <w:bottom w:val="none" w:sz="0" w:space="0" w:color="auto"/>
        <w:right w:val="none" w:sz="0" w:space="0" w:color="auto"/>
      </w:divBdr>
    </w:div>
    <w:div w:id="282614030">
      <w:bodyDiv w:val="1"/>
      <w:marLeft w:val="0"/>
      <w:marRight w:val="0"/>
      <w:marTop w:val="0"/>
      <w:marBottom w:val="0"/>
      <w:divBdr>
        <w:top w:val="none" w:sz="0" w:space="0" w:color="auto"/>
        <w:left w:val="none" w:sz="0" w:space="0" w:color="auto"/>
        <w:bottom w:val="none" w:sz="0" w:space="0" w:color="auto"/>
        <w:right w:val="none" w:sz="0" w:space="0" w:color="auto"/>
      </w:divBdr>
    </w:div>
    <w:div w:id="524251622">
      <w:bodyDiv w:val="1"/>
      <w:marLeft w:val="0"/>
      <w:marRight w:val="0"/>
      <w:marTop w:val="0"/>
      <w:marBottom w:val="0"/>
      <w:divBdr>
        <w:top w:val="none" w:sz="0" w:space="0" w:color="auto"/>
        <w:left w:val="none" w:sz="0" w:space="0" w:color="auto"/>
        <w:bottom w:val="none" w:sz="0" w:space="0" w:color="auto"/>
        <w:right w:val="none" w:sz="0" w:space="0" w:color="auto"/>
      </w:divBdr>
    </w:div>
    <w:div w:id="535771402">
      <w:bodyDiv w:val="1"/>
      <w:marLeft w:val="0"/>
      <w:marRight w:val="0"/>
      <w:marTop w:val="0"/>
      <w:marBottom w:val="0"/>
      <w:divBdr>
        <w:top w:val="none" w:sz="0" w:space="0" w:color="auto"/>
        <w:left w:val="none" w:sz="0" w:space="0" w:color="auto"/>
        <w:bottom w:val="none" w:sz="0" w:space="0" w:color="auto"/>
        <w:right w:val="none" w:sz="0" w:space="0" w:color="auto"/>
      </w:divBdr>
    </w:div>
    <w:div w:id="915894739">
      <w:bodyDiv w:val="1"/>
      <w:marLeft w:val="0"/>
      <w:marRight w:val="0"/>
      <w:marTop w:val="0"/>
      <w:marBottom w:val="0"/>
      <w:divBdr>
        <w:top w:val="none" w:sz="0" w:space="0" w:color="auto"/>
        <w:left w:val="none" w:sz="0" w:space="0" w:color="auto"/>
        <w:bottom w:val="none" w:sz="0" w:space="0" w:color="auto"/>
        <w:right w:val="none" w:sz="0" w:space="0" w:color="auto"/>
      </w:divBdr>
    </w:div>
    <w:div w:id="998774752">
      <w:bodyDiv w:val="1"/>
      <w:marLeft w:val="0"/>
      <w:marRight w:val="0"/>
      <w:marTop w:val="0"/>
      <w:marBottom w:val="0"/>
      <w:divBdr>
        <w:top w:val="none" w:sz="0" w:space="0" w:color="auto"/>
        <w:left w:val="none" w:sz="0" w:space="0" w:color="auto"/>
        <w:bottom w:val="none" w:sz="0" w:space="0" w:color="auto"/>
        <w:right w:val="none" w:sz="0" w:space="0" w:color="auto"/>
      </w:divBdr>
    </w:div>
    <w:div w:id="1108543183">
      <w:bodyDiv w:val="1"/>
      <w:marLeft w:val="0"/>
      <w:marRight w:val="0"/>
      <w:marTop w:val="0"/>
      <w:marBottom w:val="0"/>
      <w:divBdr>
        <w:top w:val="none" w:sz="0" w:space="0" w:color="auto"/>
        <w:left w:val="none" w:sz="0" w:space="0" w:color="auto"/>
        <w:bottom w:val="none" w:sz="0" w:space="0" w:color="auto"/>
        <w:right w:val="none" w:sz="0" w:space="0" w:color="auto"/>
      </w:divBdr>
    </w:div>
    <w:div w:id="1200244116">
      <w:bodyDiv w:val="1"/>
      <w:marLeft w:val="0"/>
      <w:marRight w:val="0"/>
      <w:marTop w:val="0"/>
      <w:marBottom w:val="0"/>
      <w:divBdr>
        <w:top w:val="none" w:sz="0" w:space="0" w:color="auto"/>
        <w:left w:val="none" w:sz="0" w:space="0" w:color="auto"/>
        <w:bottom w:val="none" w:sz="0" w:space="0" w:color="auto"/>
        <w:right w:val="none" w:sz="0" w:space="0" w:color="auto"/>
      </w:divBdr>
    </w:div>
    <w:div w:id="1409231193">
      <w:bodyDiv w:val="1"/>
      <w:marLeft w:val="0"/>
      <w:marRight w:val="0"/>
      <w:marTop w:val="0"/>
      <w:marBottom w:val="0"/>
      <w:divBdr>
        <w:top w:val="none" w:sz="0" w:space="0" w:color="auto"/>
        <w:left w:val="none" w:sz="0" w:space="0" w:color="auto"/>
        <w:bottom w:val="none" w:sz="0" w:space="0" w:color="auto"/>
        <w:right w:val="none" w:sz="0" w:space="0" w:color="auto"/>
      </w:divBdr>
    </w:div>
    <w:div w:id="1464543893">
      <w:bodyDiv w:val="1"/>
      <w:marLeft w:val="0"/>
      <w:marRight w:val="0"/>
      <w:marTop w:val="0"/>
      <w:marBottom w:val="0"/>
      <w:divBdr>
        <w:top w:val="none" w:sz="0" w:space="0" w:color="auto"/>
        <w:left w:val="none" w:sz="0" w:space="0" w:color="auto"/>
        <w:bottom w:val="none" w:sz="0" w:space="0" w:color="auto"/>
        <w:right w:val="none" w:sz="0" w:space="0" w:color="auto"/>
      </w:divBdr>
    </w:div>
    <w:div w:id="1481651514">
      <w:bodyDiv w:val="1"/>
      <w:marLeft w:val="0"/>
      <w:marRight w:val="0"/>
      <w:marTop w:val="0"/>
      <w:marBottom w:val="0"/>
      <w:divBdr>
        <w:top w:val="none" w:sz="0" w:space="0" w:color="auto"/>
        <w:left w:val="none" w:sz="0" w:space="0" w:color="auto"/>
        <w:bottom w:val="none" w:sz="0" w:space="0" w:color="auto"/>
        <w:right w:val="none" w:sz="0" w:space="0" w:color="auto"/>
      </w:divBdr>
    </w:div>
    <w:div w:id="1509906493">
      <w:bodyDiv w:val="1"/>
      <w:marLeft w:val="0"/>
      <w:marRight w:val="0"/>
      <w:marTop w:val="0"/>
      <w:marBottom w:val="0"/>
      <w:divBdr>
        <w:top w:val="none" w:sz="0" w:space="0" w:color="auto"/>
        <w:left w:val="none" w:sz="0" w:space="0" w:color="auto"/>
        <w:bottom w:val="none" w:sz="0" w:space="0" w:color="auto"/>
        <w:right w:val="none" w:sz="0" w:space="0" w:color="auto"/>
      </w:divBdr>
    </w:div>
    <w:div w:id="1575554215">
      <w:bodyDiv w:val="1"/>
      <w:marLeft w:val="0"/>
      <w:marRight w:val="0"/>
      <w:marTop w:val="0"/>
      <w:marBottom w:val="0"/>
      <w:divBdr>
        <w:top w:val="none" w:sz="0" w:space="0" w:color="auto"/>
        <w:left w:val="none" w:sz="0" w:space="0" w:color="auto"/>
        <w:bottom w:val="none" w:sz="0" w:space="0" w:color="auto"/>
        <w:right w:val="none" w:sz="0" w:space="0" w:color="auto"/>
      </w:divBdr>
    </w:div>
    <w:div w:id="1591891619">
      <w:bodyDiv w:val="1"/>
      <w:marLeft w:val="0"/>
      <w:marRight w:val="0"/>
      <w:marTop w:val="0"/>
      <w:marBottom w:val="0"/>
      <w:divBdr>
        <w:top w:val="none" w:sz="0" w:space="0" w:color="auto"/>
        <w:left w:val="none" w:sz="0" w:space="0" w:color="auto"/>
        <w:bottom w:val="none" w:sz="0" w:space="0" w:color="auto"/>
        <w:right w:val="none" w:sz="0" w:space="0" w:color="auto"/>
      </w:divBdr>
    </w:div>
    <w:div w:id="1614702364">
      <w:bodyDiv w:val="1"/>
      <w:marLeft w:val="0"/>
      <w:marRight w:val="0"/>
      <w:marTop w:val="0"/>
      <w:marBottom w:val="0"/>
      <w:divBdr>
        <w:top w:val="none" w:sz="0" w:space="0" w:color="auto"/>
        <w:left w:val="none" w:sz="0" w:space="0" w:color="auto"/>
        <w:bottom w:val="none" w:sz="0" w:space="0" w:color="auto"/>
        <w:right w:val="none" w:sz="0" w:space="0" w:color="auto"/>
      </w:divBdr>
    </w:div>
    <w:div w:id="1831142471">
      <w:bodyDiv w:val="1"/>
      <w:marLeft w:val="0"/>
      <w:marRight w:val="0"/>
      <w:marTop w:val="0"/>
      <w:marBottom w:val="0"/>
      <w:divBdr>
        <w:top w:val="none" w:sz="0" w:space="0" w:color="auto"/>
        <w:left w:val="none" w:sz="0" w:space="0" w:color="auto"/>
        <w:bottom w:val="none" w:sz="0" w:space="0" w:color="auto"/>
        <w:right w:val="none" w:sz="0" w:space="0" w:color="auto"/>
      </w:divBdr>
    </w:div>
    <w:div w:id="2044550555">
      <w:bodyDiv w:val="1"/>
      <w:marLeft w:val="0"/>
      <w:marRight w:val="0"/>
      <w:marTop w:val="0"/>
      <w:marBottom w:val="0"/>
      <w:divBdr>
        <w:top w:val="none" w:sz="0" w:space="0" w:color="auto"/>
        <w:left w:val="none" w:sz="0" w:space="0" w:color="auto"/>
        <w:bottom w:val="none" w:sz="0" w:space="0" w:color="auto"/>
        <w:right w:val="none" w:sz="0" w:space="0" w:color="auto"/>
      </w:divBdr>
    </w:div>
    <w:div w:id="21336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mckennab</dc:creator>
  <cp:lastModifiedBy>mckennab</cp:lastModifiedBy>
  <cp:revision>2</cp:revision>
  <cp:lastPrinted>2019-03-11T15:50:00Z</cp:lastPrinted>
  <dcterms:created xsi:type="dcterms:W3CDTF">2025-04-07T12:34:00Z</dcterms:created>
  <dcterms:modified xsi:type="dcterms:W3CDTF">2025-04-07T12:34:00Z</dcterms:modified>
</cp:coreProperties>
</file>