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C09" w:rsidRPr="00832E5E" w:rsidRDefault="00430C09" w:rsidP="005F766A">
      <w:pPr>
        <w:pStyle w:val="Heading1"/>
        <w:spacing w:before="0"/>
        <w:ind w:right="-286"/>
        <w:jc w:val="both"/>
        <w:rPr>
          <w:color w:val="002060"/>
          <w:sz w:val="44"/>
          <w:szCs w:val="44"/>
        </w:rPr>
      </w:pPr>
      <w:r w:rsidRPr="00832E5E">
        <w:rPr>
          <w:b w:val="0"/>
          <w:noProof/>
          <w:color w:val="002060"/>
          <w:sz w:val="44"/>
          <w:szCs w:val="44"/>
          <w:lang w:eastAsia="en-GB"/>
        </w:rPr>
        <w:drawing>
          <wp:anchor distT="0" distB="0" distL="114300" distR="114300" simplePos="0" relativeHeight="251658240" behindDoc="0" locked="0" layoutInCell="1" allowOverlap="1">
            <wp:simplePos x="633046" y="759655"/>
            <wp:positionH relativeFrom="margin">
              <wp:align>right</wp:align>
            </wp:positionH>
            <wp:positionV relativeFrom="margin">
              <wp:align>top</wp:align>
            </wp:positionV>
            <wp:extent cx="1046480" cy="773430"/>
            <wp:effectExtent l="0" t="0" r="1270" b="7620"/>
            <wp:wrapSquare wrapText="bothSides"/>
            <wp:docPr id="6" name="Picture 1" descr="NHS Scotland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Scotland colour.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46480" cy="773430"/>
                    </a:xfrm>
                    <a:prstGeom prst="rect">
                      <a:avLst/>
                    </a:prstGeom>
                  </pic:spPr>
                </pic:pic>
              </a:graphicData>
            </a:graphic>
          </wp:anchor>
        </w:drawing>
      </w:r>
      <w:r w:rsidRPr="00832E5E">
        <w:rPr>
          <w:color w:val="002060"/>
          <w:sz w:val="44"/>
          <w:szCs w:val="44"/>
        </w:rPr>
        <w:t xml:space="preserve">NHS </w:t>
      </w:r>
      <w:r w:rsidR="00832E5E" w:rsidRPr="00832E5E">
        <w:rPr>
          <w:color w:val="002060"/>
          <w:sz w:val="44"/>
          <w:szCs w:val="44"/>
        </w:rPr>
        <w:t>Fife</w:t>
      </w:r>
    </w:p>
    <w:p w:rsidR="00446219" w:rsidRDefault="00446219" w:rsidP="005F766A">
      <w:pPr>
        <w:pStyle w:val="Heading2"/>
        <w:spacing w:before="0"/>
        <w:rPr>
          <w:rStyle w:val="Heading3Char"/>
          <w:b/>
          <w:highlight w:val="lightGray"/>
        </w:rPr>
      </w:pPr>
    </w:p>
    <w:p w:rsidR="009807B4" w:rsidRDefault="0023473B" w:rsidP="005F766A">
      <w:pPr>
        <w:pStyle w:val="Heading3"/>
        <w:spacing w:before="0"/>
        <w:ind w:left="3402" w:hanging="3402"/>
        <w:rPr>
          <w:rStyle w:val="Heading3Char"/>
          <w:b/>
        </w:rPr>
      </w:pPr>
      <w:r w:rsidRPr="00AA77F7">
        <w:rPr>
          <w:rStyle w:val="Heading3Char"/>
          <w:b/>
        </w:rPr>
        <w:t>Meeting:</w:t>
      </w:r>
      <w:r w:rsidR="00B77902">
        <w:rPr>
          <w:rStyle w:val="Heading3Char"/>
          <w:b/>
        </w:rPr>
        <w:tab/>
      </w:r>
      <w:r w:rsidR="00C056C3">
        <w:rPr>
          <w:rStyle w:val="Heading3Char"/>
          <w:b/>
        </w:rPr>
        <w:t>Executive Directors Group</w:t>
      </w:r>
    </w:p>
    <w:p w:rsidR="005F766A" w:rsidRPr="005F766A" w:rsidRDefault="005F766A" w:rsidP="005F766A"/>
    <w:p w:rsidR="00430C09" w:rsidRPr="00841378" w:rsidRDefault="00430C09" w:rsidP="005F766A">
      <w:pPr>
        <w:pStyle w:val="Heading3"/>
        <w:spacing w:before="0"/>
        <w:ind w:left="3402" w:hanging="3402"/>
      </w:pPr>
      <w:r w:rsidRPr="00841378">
        <w:rPr>
          <w:rStyle w:val="Heading3Char"/>
          <w:b/>
        </w:rPr>
        <w:t xml:space="preserve">Meeting </w:t>
      </w:r>
      <w:r w:rsidR="005F766A">
        <w:rPr>
          <w:rStyle w:val="Heading3Char"/>
          <w:b/>
        </w:rPr>
        <w:t>D</w:t>
      </w:r>
      <w:r w:rsidRPr="00841378">
        <w:rPr>
          <w:rStyle w:val="Heading3Char"/>
          <w:b/>
        </w:rPr>
        <w:t>at</w:t>
      </w:r>
      <w:r w:rsidR="0023473B" w:rsidRPr="00841378">
        <w:rPr>
          <w:rStyle w:val="Heading3Char"/>
          <w:b/>
        </w:rPr>
        <w:t>e:</w:t>
      </w:r>
      <w:r w:rsidR="00B77902" w:rsidRPr="00841378">
        <w:rPr>
          <w:rStyle w:val="Heading3Char"/>
          <w:b/>
        </w:rPr>
        <w:tab/>
      </w:r>
      <w:r w:rsidR="00C056C3">
        <w:rPr>
          <w:rStyle w:val="Heading3Char"/>
          <w:b/>
        </w:rPr>
        <w:t>Thursday 17 April 2025</w:t>
      </w:r>
    </w:p>
    <w:p w:rsidR="005F766A" w:rsidRDefault="005F766A" w:rsidP="005F766A">
      <w:pPr>
        <w:pStyle w:val="Heading3"/>
        <w:spacing w:before="0"/>
        <w:ind w:left="3402" w:hanging="3402"/>
        <w:rPr>
          <w:rStyle w:val="Heading3Char"/>
          <w:b/>
        </w:rPr>
      </w:pPr>
    </w:p>
    <w:p w:rsidR="00B77902" w:rsidRPr="00841378" w:rsidRDefault="00430C09" w:rsidP="005F766A">
      <w:pPr>
        <w:pStyle w:val="Heading3"/>
        <w:spacing w:before="0"/>
        <w:ind w:left="3402" w:hanging="3402"/>
      </w:pPr>
      <w:r w:rsidRPr="00841378">
        <w:rPr>
          <w:rStyle w:val="Heading3Char"/>
          <w:b/>
        </w:rPr>
        <w:t>Title</w:t>
      </w:r>
      <w:r w:rsidR="00AA77F7" w:rsidRPr="00841378">
        <w:rPr>
          <w:rStyle w:val="Heading3Char"/>
          <w:b/>
        </w:rPr>
        <w:t>:</w:t>
      </w:r>
      <w:r w:rsidR="00B77902" w:rsidRPr="00841378">
        <w:rPr>
          <w:rStyle w:val="Heading3Char"/>
          <w:b/>
        </w:rPr>
        <w:tab/>
      </w:r>
      <w:r w:rsidR="00C056C3">
        <w:rPr>
          <w:rStyle w:val="Heading3Char"/>
          <w:b/>
        </w:rPr>
        <w:t>Equal Pay Audit 2025</w:t>
      </w:r>
    </w:p>
    <w:p w:rsidR="005F766A" w:rsidRDefault="005F766A" w:rsidP="005F766A">
      <w:pPr>
        <w:pStyle w:val="Heading3"/>
        <w:spacing w:before="0"/>
        <w:ind w:left="3402" w:hanging="3402"/>
        <w:rPr>
          <w:rStyle w:val="Heading3Char"/>
          <w:b/>
        </w:rPr>
      </w:pPr>
    </w:p>
    <w:p w:rsidR="00C056C3" w:rsidRPr="00F3337D" w:rsidRDefault="00C056C3" w:rsidP="00C056C3">
      <w:pPr>
        <w:pStyle w:val="Heading3"/>
        <w:spacing w:before="0"/>
        <w:ind w:left="3402" w:hanging="3402"/>
        <w:rPr>
          <w:rStyle w:val="Heading3Char"/>
          <w:b/>
        </w:rPr>
      </w:pPr>
      <w:r w:rsidRPr="00F3337D">
        <w:rPr>
          <w:rStyle w:val="Heading3Char"/>
          <w:b/>
        </w:rPr>
        <w:t>R</w:t>
      </w:r>
      <w:r>
        <w:rPr>
          <w:rStyle w:val="Heading3Char"/>
          <w:b/>
        </w:rPr>
        <w:t>esponsible Executive</w:t>
      </w:r>
      <w:r w:rsidRPr="00F3337D">
        <w:rPr>
          <w:rStyle w:val="Heading3Char"/>
          <w:b/>
        </w:rPr>
        <w:t xml:space="preserve">: </w:t>
      </w:r>
      <w:r>
        <w:rPr>
          <w:rStyle w:val="Heading3Char"/>
          <w:b/>
        </w:rPr>
        <w:tab/>
        <w:t>David Miller, Director of People &amp; Culture</w:t>
      </w:r>
    </w:p>
    <w:p w:rsidR="00C056C3" w:rsidRDefault="00C056C3" w:rsidP="00C056C3">
      <w:pPr>
        <w:pStyle w:val="Heading3"/>
        <w:spacing w:before="0"/>
        <w:ind w:left="3402" w:hanging="3402"/>
        <w:rPr>
          <w:rStyle w:val="Heading3Char"/>
          <w:b/>
        </w:rPr>
      </w:pPr>
    </w:p>
    <w:p w:rsidR="00C056C3" w:rsidRPr="00C37245" w:rsidRDefault="00C056C3" w:rsidP="00C056C3">
      <w:pPr>
        <w:pStyle w:val="Heading3"/>
        <w:spacing w:before="0"/>
        <w:ind w:left="3402" w:hanging="3402"/>
        <w:rPr>
          <w:rStyle w:val="Heading3Char"/>
          <w:b/>
        </w:rPr>
      </w:pPr>
      <w:r w:rsidRPr="00F3337D">
        <w:rPr>
          <w:rStyle w:val="Heading3Char"/>
          <w:b/>
        </w:rPr>
        <w:t>Report Author:</w:t>
      </w:r>
      <w:r>
        <w:rPr>
          <w:rStyle w:val="Heading3Char"/>
          <w:b/>
        </w:rPr>
        <w:tab/>
        <w:t xml:space="preserve">Brian McKenna, </w:t>
      </w:r>
      <w:bookmarkStart w:id="0" w:name="_Hlk80645575"/>
      <w:r w:rsidRPr="00C37245">
        <w:rPr>
          <w:rStyle w:val="Heading3Char"/>
          <w:b/>
        </w:rPr>
        <w:t>Workforce Planning, Workforce Systems and Data Intelligence Lead</w:t>
      </w:r>
      <w:bookmarkEnd w:id="0"/>
      <w:r w:rsidRPr="00C37245">
        <w:rPr>
          <w:rStyle w:val="Heading3Char"/>
          <w:b/>
        </w:rPr>
        <w:t xml:space="preserve"> </w:t>
      </w:r>
    </w:p>
    <w:p w:rsidR="00B77902" w:rsidRDefault="00B77902" w:rsidP="005F766A"/>
    <w:p w:rsidR="005F766A" w:rsidRPr="00B77902" w:rsidRDefault="005F766A" w:rsidP="005F766A"/>
    <w:p w:rsidR="00430C09" w:rsidRDefault="00BF3AF0" w:rsidP="005F766A">
      <w:pPr>
        <w:pStyle w:val="Heading2"/>
        <w:spacing w:before="0"/>
      </w:pPr>
      <w:r>
        <w:t>1</w:t>
      </w:r>
      <w:r w:rsidR="005F766A">
        <w:t>.</w:t>
      </w:r>
      <w:r>
        <w:tab/>
      </w:r>
      <w:r w:rsidR="00430C09" w:rsidRPr="00F05C63">
        <w:t>Purpose</w:t>
      </w:r>
    </w:p>
    <w:p w:rsidR="005F766A" w:rsidRPr="005F766A" w:rsidRDefault="005F766A" w:rsidP="005F766A"/>
    <w:p w:rsidR="009807B4" w:rsidRPr="00FA0166" w:rsidRDefault="00430C09" w:rsidP="005F766A">
      <w:pPr>
        <w:pStyle w:val="Heading3"/>
        <w:spacing w:before="0"/>
        <w:ind w:left="720"/>
        <w:rPr>
          <w:lang w:eastAsia="en-GB"/>
        </w:rPr>
      </w:pPr>
      <w:r w:rsidRPr="00FA0166">
        <w:rPr>
          <w:lang w:eastAsia="en-GB"/>
        </w:rPr>
        <w:t>This</w:t>
      </w:r>
      <w:r w:rsidR="00446219" w:rsidRPr="00FA0166">
        <w:rPr>
          <w:lang w:eastAsia="en-GB"/>
        </w:rPr>
        <w:t xml:space="preserve"> </w:t>
      </w:r>
      <w:r w:rsidR="00E82300" w:rsidRPr="00FA0166">
        <w:rPr>
          <w:lang w:eastAsia="en-GB"/>
        </w:rPr>
        <w:t xml:space="preserve">report </w:t>
      </w:r>
      <w:r w:rsidR="00446219" w:rsidRPr="00FA0166">
        <w:rPr>
          <w:lang w:eastAsia="en-GB"/>
        </w:rPr>
        <w:t xml:space="preserve">is presented </w:t>
      </w:r>
      <w:r w:rsidR="005F766A" w:rsidRPr="00FA0166">
        <w:rPr>
          <w:lang w:eastAsia="en-GB"/>
        </w:rPr>
        <w:t xml:space="preserve">to </w:t>
      </w:r>
      <w:r w:rsidR="00FA0166" w:rsidRPr="00FA0166">
        <w:rPr>
          <w:lang w:eastAsia="en-GB"/>
        </w:rPr>
        <w:t>Executive Directors Group</w:t>
      </w:r>
      <w:r w:rsidR="005F766A" w:rsidRPr="00FA0166">
        <w:rPr>
          <w:lang w:eastAsia="en-GB"/>
        </w:rPr>
        <w:t xml:space="preserve"> </w:t>
      </w:r>
      <w:r w:rsidR="00446219" w:rsidRPr="00FA0166">
        <w:rPr>
          <w:lang w:eastAsia="en-GB"/>
        </w:rPr>
        <w:t xml:space="preserve">for: </w:t>
      </w:r>
    </w:p>
    <w:p w:rsidR="009807B4" w:rsidRPr="00FA0166" w:rsidRDefault="009807B4" w:rsidP="005F766A">
      <w:pPr>
        <w:pStyle w:val="Heading3"/>
        <w:numPr>
          <w:ilvl w:val="0"/>
          <w:numId w:val="9"/>
        </w:numPr>
        <w:spacing w:before="0"/>
        <w:ind w:left="1080"/>
        <w:rPr>
          <w:b w:val="0"/>
          <w:lang w:eastAsia="en-GB"/>
        </w:rPr>
      </w:pPr>
      <w:r w:rsidRPr="00FA0166">
        <w:rPr>
          <w:b w:val="0"/>
          <w:lang w:eastAsia="en-GB"/>
        </w:rPr>
        <w:t>A</w:t>
      </w:r>
      <w:r w:rsidR="00EF384D" w:rsidRPr="00FA0166">
        <w:rPr>
          <w:b w:val="0"/>
          <w:lang w:eastAsia="en-GB"/>
        </w:rPr>
        <w:t>ssurance</w:t>
      </w:r>
    </w:p>
    <w:p w:rsidR="00430C09" w:rsidRPr="00FA0166" w:rsidRDefault="00430C09" w:rsidP="005F766A">
      <w:pPr>
        <w:autoSpaceDE w:val="0"/>
        <w:autoSpaceDN w:val="0"/>
        <w:adjustRightInd w:val="0"/>
        <w:ind w:left="720"/>
        <w:rPr>
          <w:rFonts w:cs="Arial"/>
          <w:color w:val="000000"/>
          <w:szCs w:val="24"/>
          <w:lang w:eastAsia="en-GB"/>
        </w:rPr>
      </w:pPr>
    </w:p>
    <w:p w:rsidR="00430C09" w:rsidRPr="00FA0166" w:rsidRDefault="00430C09" w:rsidP="005F766A">
      <w:pPr>
        <w:pStyle w:val="Heading3"/>
        <w:spacing w:before="0"/>
        <w:ind w:left="720"/>
        <w:rPr>
          <w:lang w:eastAsia="en-GB"/>
        </w:rPr>
      </w:pPr>
      <w:r w:rsidRPr="00FA0166">
        <w:rPr>
          <w:lang w:eastAsia="en-GB"/>
        </w:rPr>
        <w:t>This report relates to:</w:t>
      </w:r>
    </w:p>
    <w:p w:rsidR="009807B4" w:rsidRPr="00FA0166" w:rsidRDefault="009807B4" w:rsidP="005F766A">
      <w:pPr>
        <w:pStyle w:val="ListParagraph"/>
        <w:numPr>
          <w:ilvl w:val="0"/>
          <w:numId w:val="7"/>
        </w:numPr>
        <w:autoSpaceDE w:val="0"/>
        <w:autoSpaceDN w:val="0"/>
        <w:adjustRightInd w:val="0"/>
        <w:ind w:left="1080"/>
        <w:rPr>
          <w:rFonts w:ascii="Arial" w:hAnsi="Arial" w:cs="Arial"/>
          <w:color w:val="000000"/>
          <w:sz w:val="24"/>
          <w:szCs w:val="24"/>
        </w:rPr>
      </w:pPr>
      <w:r w:rsidRPr="00FA0166">
        <w:rPr>
          <w:rFonts w:ascii="Arial" w:hAnsi="Arial" w:cs="Arial"/>
          <w:color w:val="000000"/>
          <w:sz w:val="24"/>
          <w:szCs w:val="24"/>
        </w:rPr>
        <w:t>Legal requirement</w:t>
      </w:r>
    </w:p>
    <w:p w:rsidR="00430C09" w:rsidRPr="00FA0166" w:rsidRDefault="00430C09" w:rsidP="005F766A">
      <w:pPr>
        <w:autoSpaceDE w:val="0"/>
        <w:autoSpaceDN w:val="0"/>
        <w:adjustRightInd w:val="0"/>
        <w:ind w:left="720"/>
        <w:rPr>
          <w:rFonts w:cs="Arial"/>
          <w:color w:val="000000"/>
          <w:szCs w:val="24"/>
          <w:lang w:eastAsia="en-GB"/>
        </w:rPr>
      </w:pPr>
    </w:p>
    <w:p w:rsidR="00430C09" w:rsidRPr="00FA0166" w:rsidRDefault="00430C09" w:rsidP="005F766A">
      <w:pPr>
        <w:pStyle w:val="Heading3"/>
        <w:spacing w:before="0"/>
        <w:ind w:left="720"/>
        <w:rPr>
          <w:lang w:eastAsia="en-GB"/>
        </w:rPr>
      </w:pPr>
      <w:r w:rsidRPr="00FA0166">
        <w:rPr>
          <w:lang w:eastAsia="en-GB"/>
        </w:rPr>
        <w:t xml:space="preserve">This </w:t>
      </w:r>
      <w:r w:rsidR="00E82300" w:rsidRPr="00FA0166">
        <w:rPr>
          <w:lang w:eastAsia="en-GB"/>
        </w:rPr>
        <w:t xml:space="preserve">report </w:t>
      </w:r>
      <w:r w:rsidRPr="00FA0166">
        <w:rPr>
          <w:lang w:eastAsia="en-GB"/>
        </w:rPr>
        <w:t>aligns to the following</w:t>
      </w:r>
      <w:r w:rsidR="00047714" w:rsidRPr="00FA0166">
        <w:rPr>
          <w:lang w:eastAsia="en-GB"/>
        </w:rPr>
        <w:t xml:space="preserve"> NHSScotland</w:t>
      </w:r>
      <w:r w:rsidRPr="00FA0166">
        <w:rPr>
          <w:lang w:eastAsia="en-GB"/>
        </w:rPr>
        <w:t xml:space="preserve"> quality </w:t>
      </w:r>
      <w:r w:rsidR="009807B4" w:rsidRPr="00FA0166">
        <w:rPr>
          <w:lang w:eastAsia="en-GB"/>
        </w:rPr>
        <w:t>ambition(s)</w:t>
      </w:r>
      <w:r w:rsidRPr="00FA0166">
        <w:rPr>
          <w:lang w:eastAsia="en-GB"/>
        </w:rPr>
        <w:t>:</w:t>
      </w:r>
    </w:p>
    <w:p w:rsidR="009807B4" w:rsidRPr="00FA0166" w:rsidRDefault="009807B4" w:rsidP="007B7365">
      <w:pPr>
        <w:pStyle w:val="ListParagraph"/>
        <w:numPr>
          <w:ilvl w:val="0"/>
          <w:numId w:val="8"/>
        </w:numPr>
        <w:autoSpaceDE w:val="0"/>
        <w:autoSpaceDN w:val="0"/>
        <w:adjustRightInd w:val="0"/>
        <w:ind w:left="1080"/>
        <w:rPr>
          <w:rFonts w:ascii="Arial" w:hAnsi="Arial" w:cs="Arial"/>
          <w:color w:val="000000"/>
          <w:sz w:val="24"/>
          <w:szCs w:val="24"/>
        </w:rPr>
      </w:pPr>
      <w:r w:rsidRPr="00FA0166">
        <w:rPr>
          <w:rFonts w:ascii="Arial" w:hAnsi="Arial" w:cs="Arial"/>
          <w:color w:val="000000"/>
          <w:sz w:val="24"/>
          <w:szCs w:val="24"/>
        </w:rPr>
        <w:t>Effective</w:t>
      </w:r>
      <w:r w:rsidR="00FA0166" w:rsidRPr="00FA0166">
        <w:rPr>
          <w:rFonts w:ascii="Arial" w:hAnsi="Arial" w:cs="Arial"/>
          <w:color w:val="000000"/>
          <w:sz w:val="24"/>
          <w:szCs w:val="24"/>
        </w:rPr>
        <w:t xml:space="preserve"> &amp; </w:t>
      </w:r>
      <w:r w:rsidRPr="00FA0166">
        <w:rPr>
          <w:rFonts w:ascii="Arial" w:hAnsi="Arial" w:cs="Arial"/>
          <w:color w:val="000000"/>
          <w:sz w:val="24"/>
          <w:szCs w:val="24"/>
        </w:rPr>
        <w:t>Person Centred</w:t>
      </w:r>
    </w:p>
    <w:p w:rsidR="00430C09" w:rsidRPr="00FA0166" w:rsidRDefault="00430C09" w:rsidP="005F766A"/>
    <w:p w:rsidR="00541786" w:rsidRPr="00FA0166" w:rsidRDefault="003D24B1" w:rsidP="005F766A">
      <w:pPr>
        <w:ind w:left="720"/>
        <w:rPr>
          <w:b/>
          <w:bCs/>
        </w:rPr>
      </w:pPr>
      <w:r w:rsidRPr="00FA0166">
        <w:rPr>
          <w:b/>
          <w:bCs/>
        </w:rPr>
        <w:t>This report aligns to the following strand/s of the NHS Scotland Staff Governance Standard</w:t>
      </w:r>
      <w:r w:rsidR="00541786" w:rsidRPr="00FA0166">
        <w:rPr>
          <w:b/>
          <w:bCs/>
        </w:rPr>
        <w:t>:</w:t>
      </w:r>
    </w:p>
    <w:p w:rsidR="00541786" w:rsidRPr="00FA0166" w:rsidRDefault="00541786" w:rsidP="005F766A">
      <w:pPr>
        <w:pStyle w:val="ListParagraph"/>
        <w:numPr>
          <w:ilvl w:val="0"/>
          <w:numId w:val="8"/>
        </w:numPr>
        <w:autoSpaceDE w:val="0"/>
        <w:autoSpaceDN w:val="0"/>
        <w:adjustRightInd w:val="0"/>
        <w:ind w:left="1080"/>
        <w:jc w:val="both"/>
        <w:rPr>
          <w:rFonts w:ascii="Arial" w:hAnsi="Arial" w:cs="Arial"/>
          <w:color w:val="000000"/>
          <w:sz w:val="24"/>
          <w:szCs w:val="24"/>
        </w:rPr>
      </w:pPr>
      <w:r w:rsidRPr="00FA0166">
        <w:rPr>
          <w:rFonts w:ascii="Arial" w:hAnsi="Arial" w:cs="Arial"/>
          <w:color w:val="000000"/>
          <w:sz w:val="24"/>
          <w:szCs w:val="24"/>
        </w:rPr>
        <w:t>Well informed</w:t>
      </w:r>
    </w:p>
    <w:p w:rsidR="00541786" w:rsidRDefault="00541786" w:rsidP="005F766A">
      <w:pPr>
        <w:ind w:left="720"/>
        <w:rPr>
          <w:b/>
          <w:bCs/>
        </w:rPr>
      </w:pPr>
    </w:p>
    <w:p w:rsidR="005F766A" w:rsidRPr="00CC7E73" w:rsidRDefault="005F766A" w:rsidP="005F766A">
      <w:pPr>
        <w:ind w:left="720"/>
        <w:rPr>
          <w:b/>
          <w:bCs/>
        </w:rPr>
      </w:pPr>
    </w:p>
    <w:p w:rsidR="00430C09" w:rsidRDefault="00C94BF7" w:rsidP="005F766A">
      <w:pPr>
        <w:pStyle w:val="Heading2"/>
        <w:spacing w:before="0"/>
      </w:pPr>
      <w:r>
        <w:t>2</w:t>
      </w:r>
      <w:r w:rsidR="005F766A">
        <w:t>.</w:t>
      </w:r>
      <w:r w:rsidR="00BF3AF0">
        <w:tab/>
      </w:r>
      <w:r w:rsidR="00430C09">
        <w:t xml:space="preserve">Report </w:t>
      </w:r>
      <w:r w:rsidR="005F766A">
        <w:t>S</w:t>
      </w:r>
      <w:r w:rsidR="00430C09">
        <w:t>ummary</w:t>
      </w:r>
      <w:r w:rsidR="00430C09">
        <w:tab/>
      </w:r>
    </w:p>
    <w:p w:rsidR="0003098A" w:rsidRDefault="0003098A" w:rsidP="005F766A">
      <w:pPr>
        <w:pStyle w:val="Heading3"/>
        <w:spacing w:before="0"/>
      </w:pPr>
    </w:p>
    <w:p w:rsidR="00430C09" w:rsidRDefault="00C94BF7" w:rsidP="005F766A">
      <w:pPr>
        <w:pStyle w:val="Heading2"/>
        <w:spacing w:before="0"/>
      </w:pPr>
      <w:r>
        <w:t>2</w:t>
      </w:r>
      <w:r w:rsidR="00BF3AF0">
        <w:t>.1</w:t>
      </w:r>
      <w:r w:rsidR="00BF3AF0">
        <w:tab/>
      </w:r>
      <w:r w:rsidR="00430C09" w:rsidRPr="00DA354A">
        <w:t>Situation</w:t>
      </w:r>
    </w:p>
    <w:p w:rsidR="005F766A" w:rsidRPr="005F766A" w:rsidRDefault="005F766A" w:rsidP="005F766A"/>
    <w:p w:rsidR="00C056C3" w:rsidRPr="00013D85" w:rsidRDefault="00C056C3" w:rsidP="00C056C3">
      <w:pPr>
        <w:ind w:left="720"/>
        <w:jc w:val="both"/>
        <w:rPr>
          <w:rFonts w:cs="Arial"/>
          <w:szCs w:val="24"/>
        </w:rPr>
      </w:pPr>
      <w:r w:rsidRPr="00013D85">
        <w:rPr>
          <w:rFonts w:cs="Arial"/>
          <w:szCs w:val="24"/>
        </w:rPr>
        <w:t xml:space="preserve">NHS Fife has </w:t>
      </w:r>
      <w:r w:rsidR="00451835">
        <w:rPr>
          <w:rFonts w:cs="Arial"/>
          <w:szCs w:val="24"/>
        </w:rPr>
        <w:t xml:space="preserve">a </w:t>
      </w:r>
      <w:r w:rsidRPr="00013D85">
        <w:rPr>
          <w:rFonts w:cs="Arial"/>
          <w:szCs w:val="24"/>
        </w:rPr>
        <w:t xml:space="preserve">legislative duty to publish biennial Pay Gap information </w:t>
      </w:r>
      <w:r w:rsidR="00384150">
        <w:rPr>
          <w:rFonts w:cs="Arial"/>
          <w:szCs w:val="24"/>
        </w:rPr>
        <w:t xml:space="preserve">for the Protected Characteristics of Disability, Gender and Race.  </w:t>
      </w:r>
      <w:r w:rsidRPr="00013D85">
        <w:rPr>
          <w:rFonts w:cs="Arial"/>
          <w:szCs w:val="24"/>
        </w:rPr>
        <w:t xml:space="preserve">This SBAR details the results of the Pay Gap analysis undertaken in </w:t>
      </w:r>
      <w:r w:rsidR="00FA0166">
        <w:rPr>
          <w:rFonts w:cs="Arial"/>
          <w:szCs w:val="24"/>
        </w:rPr>
        <w:t>2025</w:t>
      </w:r>
      <w:r w:rsidRPr="00013D85">
        <w:rPr>
          <w:rFonts w:cs="Arial"/>
          <w:szCs w:val="24"/>
        </w:rPr>
        <w:t>.</w:t>
      </w:r>
      <w:r w:rsidR="00FA0166">
        <w:rPr>
          <w:rFonts w:cs="Arial"/>
          <w:szCs w:val="24"/>
        </w:rPr>
        <w:t xml:space="preserve"> </w:t>
      </w:r>
    </w:p>
    <w:p w:rsidR="00430C09" w:rsidRDefault="00430C09" w:rsidP="005F766A">
      <w:pPr>
        <w:jc w:val="both"/>
        <w:rPr>
          <w:rFonts w:cs="Arial"/>
          <w:color w:val="000000"/>
          <w:szCs w:val="24"/>
        </w:rPr>
      </w:pPr>
    </w:p>
    <w:p w:rsidR="00430C09" w:rsidRDefault="00C87B62" w:rsidP="005F766A">
      <w:pPr>
        <w:pStyle w:val="Heading2"/>
        <w:spacing w:before="0"/>
        <w:ind w:left="686" w:hanging="686"/>
        <w:jc w:val="both"/>
      </w:pPr>
      <w:r>
        <w:t>2</w:t>
      </w:r>
      <w:r w:rsidR="00BF3AF0">
        <w:t>.2</w:t>
      </w:r>
      <w:r w:rsidR="00BF3AF0">
        <w:tab/>
      </w:r>
      <w:r w:rsidR="00430C09">
        <w:t>Background</w:t>
      </w:r>
    </w:p>
    <w:p w:rsidR="005F766A" w:rsidRPr="005F766A" w:rsidRDefault="005F766A" w:rsidP="005F766A">
      <w:pPr>
        <w:jc w:val="both"/>
      </w:pPr>
    </w:p>
    <w:p w:rsidR="00C056C3" w:rsidRPr="00013D85" w:rsidRDefault="00C056C3" w:rsidP="00C056C3">
      <w:pPr>
        <w:ind w:left="720"/>
        <w:jc w:val="both"/>
        <w:rPr>
          <w:rFonts w:cs="Arial"/>
          <w:szCs w:val="24"/>
        </w:rPr>
      </w:pPr>
      <w:r w:rsidRPr="00013D85">
        <w:rPr>
          <w:rFonts w:cs="Arial"/>
          <w:szCs w:val="24"/>
        </w:rPr>
        <w:t>The Equality Act (Specific Duties) (Scotland) Regulations 2012, as amended in 2015 and 2016, sought to mainstream equality into public sector culture in practical and demonstrable ways.  In doing so, the regulations require public authorities to consider how they can positively contribute to a more equal society.</w:t>
      </w:r>
    </w:p>
    <w:p w:rsidR="00C056C3" w:rsidRDefault="00C056C3" w:rsidP="00C056C3">
      <w:pPr>
        <w:ind w:left="720"/>
        <w:jc w:val="both"/>
        <w:rPr>
          <w:rFonts w:cs="Arial"/>
          <w:sz w:val="22"/>
          <w:szCs w:val="22"/>
        </w:rPr>
      </w:pPr>
    </w:p>
    <w:p w:rsidR="00C056C3" w:rsidRPr="00013D85" w:rsidRDefault="00C056C3" w:rsidP="00C056C3">
      <w:pPr>
        <w:ind w:left="720"/>
        <w:jc w:val="both"/>
        <w:rPr>
          <w:rFonts w:cs="Arial"/>
          <w:szCs w:val="24"/>
        </w:rPr>
      </w:pPr>
      <w:r w:rsidRPr="00013D85">
        <w:rPr>
          <w:rFonts w:cs="Arial"/>
          <w:szCs w:val="24"/>
        </w:rPr>
        <w:t>The regulations focus on three key elements, collectively referred to as the General Equality Duty.  The General Equality Duty requires NHS Fife, in the exercise of its functions, to have due regard to the needs to:</w:t>
      </w:r>
    </w:p>
    <w:p w:rsidR="00C056C3" w:rsidRPr="00013D85" w:rsidRDefault="00C056C3" w:rsidP="00C056C3">
      <w:pPr>
        <w:ind w:left="1134" w:hanging="425"/>
        <w:jc w:val="both"/>
        <w:rPr>
          <w:rFonts w:cs="Arial"/>
          <w:szCs w:val="24"/>
        </w:rPr>
      </w:pPr>
    </w:p>
    <w:p w:rsidR="00C056C3" w:rsidRDefault="00C056C3" w:rsidP="00C42289">
      <w:pPr>
        <w:pStyle w:val="ListParagraph"/>
        <w:numPr>
          <w:ilvl w:val="0"/>
          <w:numId w:val="20"/>
        </w:numPr>
        <w:ind w:left="1276" w:hanging="425"/>
        <w:jc w:val="both"/>
        <w:rPr>
          <w:rFonts w:ascii="Arial" w:hAnsi="Arial" w:cs="Arial"/>
          <w:sz w:val="24"/>
          <w:szCs w:val="24"/>
        </w:rPr>
      </w:pPr>
      <w:r w:rsidRPr="00013D85">
        <w:rPr>
          <w:rFonts w:ascii="Arial" w:hAnsi="Arial" w:cs="Arial"/>
          <w:sz w:val="24"/>
          <w:szCs w:val="24"/>
        </w:rPr>
        <w:t>Eliminate unlawful discrimination, harassment and victimisation and other prohibited conduct.</w:t>
      </w:r>
    </w:p>
    <w:p w:rsidR="00C056C3" w:rsidRPr="00013D85" w:rsidRDefault="00C056C3" w:rsidP="00C42289">
      <w:pPr>
        <w:pStyle w:val="ListParagraph"/>
        <w:numPr>
          <w:ilvl w:val="0"/>
          <w:numId w:val="20"/>
        </w:numPr>
        <w:ind w:left="1276" w:hanging="425"/>
        <w:jc w:val="both"/>
        <w:rPr>
          <w:rFonts w:ascii="Arial" w:hAnsi="Arial" w:cs="Arial"/>
          <w:sz w:val="24"/>
          <w:szCs w:val="24"/>
        </w:rPr>
      </w:pPr>
      <w:r w:rsidRPr="00013D85">
        <w:rPr>
          <w:rFonts w:ascii="Arial" w:hAnsi="Arial" w:cs="Arial"/>
          <w:sz w:val="24"/>
          <w:szCs w:val="24"/>
        </w:rPr>
        <w:lastRenderedPageBreak/>
        <w:t>Advance equality of opportunity between people who share a relevant protected characteristic and those who do not.</w:t>
      </w:r>
    </w:p>
    <w:p w:rsidR="00C056C3" w:rsidRPr="00013D85" w:rsidRDefault="00C056C3" w:rsidP="00C42289">
      <w:pPr>
        <w:pStyle w:val="ListParagraph"/>
        <w:numPr>
          <w:ilvl w:val="0"/>
          <w:numId w:val="20"/>
        </w:numPr>
        <w:ind w:left="1276" w:hanging="425"/>
        <w:jc w:val="both"/>
        <w:rPr>
          <w:rFonts w:ascii="Arial" w:hAnsi="Arial" w:cs="Arial"/>
          <w:sz w:val="24"/>
          <w:szCs w:val="24"/>
        </w:rPr>
      </w:pPr>
      <w:r w:rsidRPr="00013D85">
        <w:rPr>
          <w:rFonts w:ascii="Arial" w:hAnsi="Arial" w:cs="Arial"/>
          <w:sz w:val="24"/>
          <w:szCs w:val="24"/>
        </w:rPr>
        <w:t xml:space="preserve">Foster good relations between people who share a protected characteristic and those who do not. </w:t>
      </w:r>
    </w:p>
    <w:p w:rsidR="00C056C3" w:rsidRPr="00013D85" w:rsidRDefault="00C056C3" w:rsidP="00C056C3">
      <w:pPr>
        <w:ind w:left="709"/>
        <w:jc w:val="both"/>
        <w:rPr>
          <w:rFonts w:cs="Arial"/>
          <w:szCs w:val="24"/>
        </w:rPr>
      </w:pPr>
    </w:p>
    <w:p w:rsidR="00C056C3" w:rsidRPr="00013D85" w:rsidRDefault="00C056C3" w:rsidP="00C056C3">
      <w:pPr>
        <w:ind w:left="720"/>
        <w:jc w:val="both"/>
        <w:rPr>
          <w:rFonts w:cs="Arial"/>
          <w:szCs w:val="24"/>
        </w:rPr>
      </w:pPr>
      <w:r w:rsidRPr="00013D85">
        <w:rPr>
          <w:rFonts w:cs="Arial"/>
          <w:szCs w:val="24"/>
        </w:rPr>
        <w:t>The Regulations detail specific responsibilities which public authorities are required to evidence.  Within NHS Fife, the specific responsibilities are shared between different Directorates.  These are:</w:t>
      </w:r>
    </w:p>
    <w:p w:rsidR="00C056C3" w:rsidRPr="00013D85" w:rsidRDefault="00C056C3" w:rsidP="00C056C3">
      <w:pPr>
        <w:ind w:left="720"/>
        <w:jc w:val="both"/>
        <w:rPr>
          <w:rFonts w:cs="Arial"/>
          <w:szCs w:val="24"/>
        </w:rPr>
      </w:pPr>
    </w:p>
    <w:p w:rsidR="00C056C3" w:rsidRPr="00013D85" w:rsidRDefault="00C056C3" w:rsidP="00C056C3">
      <w:pPr>
        <w:ind w:left="720"/>
        <w:jc w:val="both"/>
        <w:rPr>
          <w:rFonts w:cs="Arial"/>
          <w:b/>
          <w:bCs/>
          <w:szCs w:val="24"/>
        </w:rPr>
      </w:pPr>
      <w:r w:rsidRPr="00013D85">
        <w:rPr>
          <w:rFonts w:cs="Arial"/>
          <w:b/>
          <w:bCs/>
          <w:szCs w:val="24"/>
        </w:rPr>
        <w:t>Nursing Directorate</w:t>
      </w:r>
    </w:p>
    <w:p w:rsidR="00C056C3" w:rsidRPr="00013D85" w:rsidRDefault="00C056C3" w:rsidP="00C056C3">
      <w:pPr>
        <w:ind w:left="720"/>
        <w:jc w:val="both"/>
        <w:rPr>
          <w:rFonts w:cs="Arial"/>
          <w:b/>
          <w:bCs/>
          <w:szCs w:val="24"/>
        </w:rPr>
      </w:pPr>
    </w:p>
    <w:p w:rsidR="00C056C3" w:rsidRPr="00013D85" w:rsidRDefault="00C056C3" w:rsidP="00C056C3">
      <w:pPr>
        <w:pStyle w:val="ListParagraph"/>
        <w:numPr>
          <w:ilvl w:val="0"/>
          <w:numId w:val="19"/>
        </w:numPr>
        <w:ind w:left="1134" w:hanging="425"/>
        <w:jc w:val="both"/>
        <w:rPr>
          <w:rFonts w:ascii="Arial" w:hAnsi="Arial" w:cs="Arial"/>
          <w:sz w:val="24"/>
          <w:szCs w:val="24"/>
        </w:rPr>
      </w:pPr>
      <w:r w:rsidRPr="00013D85">
        <w:rPr>
          <w:rFonts w:ascii="Arial" w:hAnsi="Arial" w:cs="Arial"/>
          <w:sz w:val="24"/>
          <w:szCs w:val="24"/>
        </w:rPr>
        <w:t>Report on mainstreaming the equality duty</w:t>
      </w:r>
    </w:p>
    <w:p w:rsidR="00C056C3" w:rsidRPr="00013D85" w:rsidRDefault="00C056C3" w:rsidP="00C056C3">
      <w:pPr>
        <w:pStyle w:val="ListParagraph"/>
        <w:numPr>
          <w:ilvl w:val="0"/>
          <w:numId w:val="19"/>
        </w:numPr>
        <w:ind w:left="1134" w:hanging="425"/>
        <w:jc w:val="both"/>
        <w:rPr>
          <w:rFonts w:ascii="Arial" w:hAnsi="Arial" w:cs="Arial"/>
          <w:sz w:val="24"/>
          <w:szCs w:val="24"/>
        </w:rPr>
      </w:pPr>
      <w:r w:rsidRPr="00013D85">
        <w:rPr>
          <w:rFonts w:ascii="Arial" w:hAnsi="Arial" w:cs="Arial"/>
          <w:sz w:val="24"/>
          <w:szCs w:val="24"/>
        </w:rPr>
        <w:t>Publish Equality Outcomes and Report Progress</w:t>
      </w:r>
    </w:p>
    <w:p w:rsidR="00C056C3" w:rsidRPr="00013D85" w:rsidRDefault="00C056C3" w:rsidP="00C056C3">
      <w:pPr>
        <w:pStyle w:val="ListParagraph"/>
        <w:numPr>
          <w:ilvl w:val="0"/>
          <w:numId w:val="19"/>
        </w:numPr>
        <w:ind w:left="1134" w:hanging="425"/>
        <w:jc w:val="both"/>
        <w:rPr>
          <w:rFonts w:ascii="Arial" w:hAnsi="Arial" w:cs="Arial"/>
          <w:sz w:val="24"/>
          <w:szCs w:val="24"/>
        </w:rPr>
      </w:pPr>
      <w:r w:rsidRPr="00013D85">
        <w:rPr>
          <w:rFonts w:ascii="Arial" w:hAnsi="Arial" w:cs="Arial"/>
          <w:sz w:val="24"/>
          <w:szCs w:val="24"/>
        </w:rPr>
        <w:t>Assess and Review Policies and Practices</w:t>
      </w:r>
    </w:p>
    <w:p w:rsidR="00C056C3" w:rsidRPr="00013D85" w:rsidRDefault="00C056C3" w:rsidP="00C056C3">
      <w:pPr>
        <w:jc w:val="both"/>
        <w:rPr>
          <w:rFonts w:cs="Arial"/>
          <w:szCs w:val="24"/>
        </w:rPr>
      </w:pPr>
    </w:p>
    <w:p w:rsidR="00C056C3" w:rsidRPr="00013D85" w:rsidRDefault="00C056C3" w:rsidP="00C056C3">
      <w:pPr>
        <w:ind w:left="720"/>
        <w:jc w:val="both"/>
        <w:rPr>
          <w:rFonts w:cs="Arial"/>
          <w:b/>
          <w:bCs/>
          <w:szCs w:val="24"/>
        </w:rPr>
      </w:pPr>
      <w:r w:rsidRPr="00013D85">
        <w:rPr>
          <w:rFonts w:cs="Arial"/>
          <w:b/>
          <w:bCs/>
          <w:szCs w:val="24"/>
        </w:rPr>
        <w:t>Workforce Directorate</w:t>
      </w:r>
    </w:p>
    <w:p w:rsidR="00C056C3" w:rsidRPr="00013D85" w:rsidRDefault="00C056C3" w:rsidP="00C056C3">
      <w:pPr>
        <w:ind w:left="720"/>
        <w:jc w:val="both"/>
        <w:rPr>
          <w:rFonts w:cs="Arial"/>
          <w:b/>
          <w:bCs/>
          <w:szCs w:val="24"/>
        </w:rPr>
      </w:pPr>
    </w:p>
    <w:p w:rsidR="00C056C3" w:rsidRPr="00013D85" w:rsidRDefault="00C056C3" w:rsidP="00C056C3">
      <w:pPr>
        <w:pStyle w:val="ListParagraph"/>
        <w:numPr>
          <w:ilvl w:val="0"/>
          <w:numId w:val="19"/>
        </w:numPr>
        <w:ind w:left="1134" w:hanging="425"/>
        <w:jc w:val="both"/>
        <w:rPr>
          <w:rFonts w:ascii="Arial" w:hAnsi="Arial" w:cs="Arial"/>
          <w:sz w:val="24"/>
          <w:szCs w:val="24"/>
        </w:rPr>
      </w:pPr>
      <w:r w:rsidRPr="00013D85">
        <w:rPr>
          <w:rFonts w:ascii="Arial" w:hAnsi="Arial" w:cs="Arial"/>
          <w:sz w:val="24"/>
          <w:szCs w:val="24"/>
        </w:rPr>
        <w:t xml:space="preserve">Gather </w:t>
      </w:r>
      <w:r w:rsidR="00FA0166">
        <w:rPr>
          <w:rFonts w:ascii="Arial" w:hAnsi="Arial" w:cs="Arial"/>
          <w:sz w:val="24"/>
          <w:szCs w:val="24"/>
        </w:rPr>
        <w:t>and</w:t>
      </w:r>
      <w:r w:rsidRPr="00013D85">
        <w:rPr>
          <w:rFonts w:ascii="Arial" w:hAnsi="Arial" w:cs="Arial"/>
          <w:sz w:val="24"/>
          <w:szCs w:val="24"/>
        </w:rPr>
        <w:t xml:space="preserve"> use employee information</w:t>
      </w:r>
    </w:p>
    <w:p w:rsidR="00C056C3" w:rsidRPr="00013D85" w:rsidRDefault="00C056C3" w:rsidP="00C056C3">
      <w:pPr>
        <w:pStyle w:val="ListParagraph"/>
        <w:numPr>
          <w:ilvl w:val="0"/>
          <w:numId w:val="19"/>
        </w:numPr>
        <w:ind w:left="1134" w:hanging="425"/>
        <w:jc w:val="both"/>
        <w:rPr>
          <w:rFonts w:ascii="Arial" w:hAnsi="Arial" w:cs="Arial"/>
          <w:sz w:val="24"/>
          <w:szCs w:val="24"/>
        </w:rPr>
      </w:pPr>
      <w:r w:rsidRPr="00013D85">
        <w:rPr>
          <w:rFonts w:ascii="Arial" w:hAnsi="Arial" w:cs="Arial"/>
          <w:sz w:val="24"/>
          <w:szCs w:val="24"/>
        </w:rPr>
        <w:t xml:space="preserve">Publish </w:t>
      </w:r>
      <w:r w:rsidR="002330AA">
        <w:rPr>
          <w:rFonts w:ascii="Arial" w:hAnsi="Arial" w:cs="Arial"/>
          <w:sz w:val="24"/>
          <w:szCs w:val="24"/>
        </w:rPr>
        <w:t>Pay Gap information relating to the Protected Characteristics of Disability, Sex and Race</w:t>
      </w:r>
    </w:p>
    <w:p w:rsidR="00C056C3" w:rsidRPr="00013D85" w:rsidRDefault="00C056C3" w:rsidP="00C056C3">
      <w:pPr>
        <w:pStyle w:val="ListParagraph"/>
        <w:numPr>
          <w:ilvl w:val="0"/>
          <w:numId w:val="19"/>
        </w:numPr>
        <w:ind w:left="1134" w:hanging="425"/>
        <w:jc w:val="both"/>
        <w:rPr>
          <w:rFonts w:ascii="Arial" w:hAnsi="Arial" w:cs="Arial"/>
          <w:sz w:val="24"/>
          <w:szCs w:val="24"/>
        </w:rPr>
      </w:pPr>
      <w:r w:rsidRPr="00013D85">
        <w:rPr>
          <w:rFonts w:ascii="Arial" w:hAnsi="Arial" w:cs="Arial"/>
          <w:sz w:val="24"/>
          <w:szCs w:val="24"/>
        </w:rPr>
        <w:t>Publish statements on equal pay</w:t>
      </w:r>
    </w:p>
    <w:p w:rsidR="00C056C3" w:rsidRPr="00013D85" w:rsidRDefault="00C056C3" w:rsidP="00C056C3">
      <w:pPr>
        <w:ind w:left="720"/>
        <w:jc w:val="both"/>
        <w:rPr>
          <w:rFonts w:cs="Arial"/>
          <w:b/>
          <w:bCs/>
          <w:szCs w:val="24"/>
        </w:rPr>
      </w:pPr>
      <w:r w:rsidRPr="00013D85">
        <w:rPr>
          <w:rFonts w:cs="Arial"/>
          <w:szCs w:val="24"/>
        </w:rPr>
        <w:br/>
      </w:r>
      <w:r w:rsidRPr="00013D85">
        <w:rPr>
          <w:rFonts w:cs="Arial"/>
          <w:b/>
          <w:bCs/>
          <w:szCs w:val="24"/>
        </w:rPr>
        <w:t>Finance Directorate</w:t>
      </w:r>
    </w:p>
    <w:p w:rsidR="00C056C3" w:rsidRPr="00013D85" w:rsidRDefault="00C056C3" w:rsidP="00C056C3">
      <w:pPr>
        <w:ind w:left="720"/>
        <w:jc w:val="both"/>
        <w:rPr>
          <w:rFonts w:cs="Arial"/>
          <w:b/>
          <w:bCs/>
          <w:szCs w:val="24"/>
        </w:rPr>
      </w:pPr>
    </w:p>
    <w:p w:rsidR="00C056C3" w:rsidRPr="00013D85" w:rsidRDefault="00C056C3" w:rsidP="00C056C3">
      <w:pPr>
        <w:pStyle w:val="ListParagraph"/>
        <w:numPr>
          <w:ilvl w:val="0"/>
          <w:numId w:val="19"/>
        </w:numPr>
        <w:ind w:left="1134" w:hanging="425"/>
        <w:jc w:val="both"/>
        <w:rPr>
          <w:rFonts w:ascii="Arial" w:hAnsi="Arial" w:cs="Arial"/>
          <w:sz w:val="24"/>
          <w:szCs w:val="24"/>
        </w:rPr>
      </w:pPr>
      <w:r w:rsidRPr="00013D85">
        <w:rPr>
          <w:rFonts w:ascii="Arial" w:hAnsi="Arial" w:cs="Arial"/>
          <w:sz w:val="24"/>
          <w:szCs w:val="24"/>
        </w:rPr>
        <w:t>Consider award criteria and conditions in relation to public procurement</w:t>
      </w:r>
    </w:p>
    <w:p w:rsidR="002330AA" w:rsidRDefault="002330AA" w:rsidP="00C056C3">
      <w:pPr>
        <w:ind w:left="720"/>
        <w:jc w:val="both"/>
        <w:rPr>
          <w:rFonts w:cs="Arial"/>
          <w:szCs w:val="24"/>
        </w:rPr>
      </w:pPr>
    </w:p>
    <w:p w:rsidR="00C056C3" w:rsidRPr="00013D85" w:rsidRDefault="00FA0166" w:rsidP="00C056C3">
      <w:pPr>
        <w:ind w:left="720"/>
        <w:jc w:val="both"/>
        <w:rPr>
          <w:rFonts w:cs="Arial"/>
          <w:szCs w:val="24"/>
        </w:rPr>
      </w:pPr>
      <w:r>
        <w:rPr>
          <w:rFonts w:cs="Arial"/>
          <w:szCs w:val="24"/>
        </w:rPr>
        <w:t xml:space="preserve">Attached at Appendix 1 </w:t>
      </w:r>
      <w:r w:rsidR="00384150">
        <w:rPr>
          <w:rFonts w:cs="Arial"/>
          <w:szCs w:val="24"/>
        </w:rPr>
        <w:t>are the results</w:t>
      </w:r>
      <w:r>
        <w:rPr>
          <w:rFonts w:cs="Arial"/>
          <w:szCs w:val="24"/>
        </w:rPr>
        <w:t xml:space="preserve"> of the 2025 </w:t>
      </w:r>
      <w:r w:rsidR="00C056C3" w:rsidRPr="00013D85">
        <w:rPr>
          <w:rFonts w:cs="Arial"/>
          <w:szCs w:val="24"/>
        </w:rPr>
        <w:t>Equal Pay Audit</w:t>
      </w:r>
      <w:r w:rsidR="00C42289">
        <w:rPr>
          <w:rFonts w:cs="Arial"/>
          <w:szCs w:val="24"/>
        </w:rPr>
        <w:t xml:space="preserve">, </w:t>
      </w:r>
      <w:r w:rsidR="00C056C3" w:rsidRPr="00013D85">
        <w:rPr>
          <w:rFonts w:cs="Arial"/>
          <w:szCs w:val="24"/>
        </w:rPr>
        <w:t>along with NHS Fife’s Equal Pay Statement</w:t>
      </w:r>
      <w:r w:rsidR="00C42289">
        <w:rPr>
          <w:rFonts w:cs="Arial"/>
          <w:szCs w:val="24"/>
        </w:rPr>
        <w:t xml:space="preserve"> at Appendix 2</w:t>
      </w:r>
      <w:r w:rsidR="00C056C3" w:rsidRPr="00013D85">
        <w:rPr>
          <w:rFonts w:cs="Arial"/>
          <w:szCs w:val="24"/>
        </w:rPr>
        <w:t>.</w:t>
      </w:r>
    </w:p>
    <w:p w:rsidR="00C056C3" w:rsidRPr="00C42289" w:rsidRDefault="00C056C3" w:rsidP="00C42289">
      <w:pPr>
        <w:jc w:val="both"/>
        <w:rPr>
          <w:rFonts w:cs="Arial"/>
          <w:color w:val="000000"/>
          <w:szCs w:val="24"/>
        </w:rPr>
      </w:pPr>
    </w:p>
    <w:p w:rsidR="00430C09" w:rsidRPr="00C42289" w:rsidRDefault="00430C09" w:rsidP="00C42289">
      <w:pPr>
        <w:rPr>
          <w:rFonts w:cs="Arial"/>
          <w:color w:val="000000"/>
          <w:szCs w:val="24"/>
        </w:rPr>
      </w:pPr>
    </w:p>
    <w:p w:rsidR="00F3337D" w:rsidRDefault="00C87B62" w:rsidP="005F766A">
      <w:pPr>
        <w:pStyle w:val="Heading2"/>
        <w:spacing w:before="0"/>
      </w:pPr>
      <w:r>
        <w:t>2</w:t>
      </w:r>
      <w:r w:rsidR="00BF3AF0">
        <w:t>.3</w:t>
      </w:r>
      <w:r w:rsidR="00BF3AF0">
        <w:tab/>
      </w:r>
      <w:r w:rsidR="00F3337D">
        <w:t>Assessment</w:t>
      </w:r>
    </w:p>
    <w:p w:rsidR="00C42289" w:rsidRDefault="00C42289" w:rsidP="00C056C3">
      <w:pPr>
        <w:ind w:left="720"/>
        <w:jc w:val="both"/>
        <w:rPr>
          <w:rFonts w:cs="Arial"/>
          <w:szCs w:val="24"/>
        </w:rPr>
      </w:pPr>
    </w:p>
    <w:p w:rsidR="00C42289" w:rsidRPr="00013D85" w:rsidRDefault="00C42289" w:rsidP="00C42289">
      <w:pPr>
        <w:ind w:left="720"/>
        <w:jc w:val="both"/>
        <w:rPr>
          <w:rFonts w:cs="Arial"/>
          <w:b/>
          <w:bCs/>
          <w:color w:val="000000" w:themeColor="text1"/>
          <w:szCs w:val="24"/>
        </w:rPr>
      </w:pPr>
      <w:r w:rsidRPr="00013D85">
        <w:rPr>
          <w:rFonts w:cs="Arial"/>
          <w:b/>
          <w:bCs/>
          <w:color w:val="000000" w:themeColor="text1"/>
          <w:szCs w:val="24"/>
        </w:rPr>
        <w:t>Findings</w:t>
      </w:r>
    </w:p>
    <w:p w:rsidR="00C42289" w:rsidRPr="00013D85" w:rsidRDefault="00C42289" w:rsidP="00C42289">
      <w:pPr>
        <w:ind w:left="720"/>
        <w:jc w:val="both"/>
        <w:rPr>
          <w:rFonts w:cs="Arial"/>
          <w:szCs w:val="24"/>
        </w:rPr>
      </w:pPr>
    </w:p>
    <w:p w:rsidR="00C42289" w:rsidRPr="00A37CDD" w:rsidRDefault="00C42289" w:rsidP="00C42289">
      <w:pPr>
        <w:ind w:left="720"/>
        <w:jc w:val="both"/>
        <w:rPr>
          <w:rFonts w:cs="Arial"/>
          <w:szCs w:val="24"/>
        </w:rPr>
      </w:pPr>
      <w:r w:rsidRPr="00A37CDD">
        <w:rPr>
          <w:rFonts w:cs="Arial"/>
          <w:szCs w:val="24"/>
        </w:rPr>
        <w:t>The Equal Pay Audit undertaken in 20</w:t>
      </w:r>
      <w:r w:rsidR="00F7518D" w:rsidRPr="00A37CDD">
        <w:rPr>
          <w:rFonts w:cs="Arial"/>
          <w:szCs w:val="24"/>
        </w:rPr>
        <w:t>25</w:t>
      </w:r>
      <w:r w:rsidRPr="00A37CDD">
        <w:rPr>
          <w:rFonts w:cs="Arial"/>
          <w:szCs w:val="24"/>
        </w:rPr>
        <w:t xml:space="preserve"> was based on the average basic hourly earnings for all employees who provided a positive response </w:t>
      </w:r>
      <w:r w:rsidR="00384150">
        <w:rPr>
          <w:rFonts w:cs="Arial"/>
          <w:szCs w:val="24"/>
        </w:rPr>
        <w:t>i</w:t>
      </w:r>
      <w:r w:rsidRPr="00A37CDD">
        <w:rPr>
          <w:rFonts w:cs="Arial"/>
          <w:szCs w:val="24"/>
        </w:rPr>
        <w:t>n respect to their Disability (</w:t>
      </w:r>
      <w:r w:rsidR="00F7518D" w:rsidRPr="00A37CDD">
        <w:rPr>
          <w:rFonts w:cs="Arial"/>
          <w:szCs w:val="24"/>
        </w:rPr>
        <w:t>46.8</w:t>
      </w:r>
      <w:r w:rsidRPr="00A37CDD">
        <w:rPr>
          <w:rFonts w:cs="Arial"/>
          <w:szCs w:val="24"/>
        </w:rPr>
        <w:t>%), Gender (100%), and Race (6</w:t>
      </w:r>
      <w:r w:rsidR="00F7518D" w:rsidRPr="00A37CDD">
        <w:rPr>
          <w:rFonts w:cs="Arial"/>
          <w:szCs w:val="24"/>
        </w:rPr>
        <w:t>8</w:t>
      </w:r>
      <w:r w:rsidRPr="00A37CDD">
        <w:rPr>
          <w:rFonts w:cs="Arial"/>
          <w:szCs w:val="24"/>
        </w:rPr>
        <w:t>.8%).  The Pay Gap results for each of these characteristics are detailed below:</w:t>
      </w:r>
    </w:p>
    <w:p w:rsidR="00C42289" w:rsidRPr="00A37CDD" w:rsidRDefault="00C42289" w:rsidP="00C42289">
      <w:pPr>
        <w:ind w:left="252"/>
        <w:jc w:val="both"/>
        <w:rPr>
          <w:rFonts w:cs="Arial"/>
          <w:szCs w:val="24"/>
        </w:rPr>
      </w:pPr>
    </w:p>
    <w:tbl>
      <w:tblPr>
        <w:tblStyle w:val="TableGrid"/>
        <w:tblW w:w="4650" w:type="pct"/>
        <w:tblInd w:w="704" w:type="dxa"/>
        <w:tblLook w:val="04A0"/>
      </w:tblPr>
      <w:tblGrid>
        <w:gridCol w:w="3013"/>
        <w:gridCol w:w="937"/>
        <w:gridCol w:w="937"/>
        <w:gridCol w:w="937"/>
        <w:gridCol w:w="935"/>
        <w:gridCol w:w="935"/>
        <w:gridCol w:w="933"/>
        <w:gridCol w:w="933"/>
      </w:tblGrid>
      <w:tr w:rsidR="002330AA" w:rsidRPr="00A37CDD" w:rsidTr="00A37CDD">
        <w:tc>
          <w:tcPr>
            <w:tcW w:w="1576" w:type="pct"/>
            <w:shd w:val="clear" w:color="auto" w:fill="DEEAF6" w:themeFill="accent1" w:themeFillTint="33"/>
          </w:tcPr>
          <w:p w:rsidR="00F7518D" w:rsidRPr="00A37CDD" w:rsidRDefault="00F7518D" w:rsidP="0035766F">
            <w:pPr>
              <w:rPr>
                <w:rFonts w:asciiTheme="minorHAnsi" w:hAnsiTheme="minorHAnsi" w:cstheme="minorHAnsi"/>
                <w:b/>
                <w:bCs/>
                <w:sz w:val="22"/>
                <w:szCs w:val="22"/>
              </w:rPr>
            </w:pPr>
            <w:r w:rsidRPr="00A37CDD">
              <w:rPr>
                <w:rFonts w:asciiTheme="minorHAnsi" w:hAnsiTheme="minorHAnsi" w:cstheme="minorHAnsi"/>
                <w:b/>
                <w:bCs/>
                <w:sz w:val="22"/>
                <w:szCs w:val="22"/>
              </w:rPr>
              <w:t>Protected Characteristic</w:t>
            </w:r>
          </w:p>
        </w:tc>
        <w:tc>
          <w:tcPr>
            <w:tcW w:w="490" w:type="pct"/>
            <w:shd w:val="clear" w:color="auto" w:fill="DEEAF6" w:themeFill="accent1" w:themeFillTint="33"/>
          </w:tcPr>
          <w:p w:rsidR="00F7518D" w:rsidRPr="00A37CDD" w:rsidRDefault="00F7518D" w:rsidP="0035766F">
            <w:pPr>
              <w:rPr>
                <w:rFonts w:asciiTheme="minorHAnsi" w:hAnsiTheme="minorHAnsi" w:cstheme="minorHAnsi"/>
                <w:b/>
                <w:bCs/>
                <w:sz w:val="22"/>
                <w:szCs w:val="22"/>
              </w:rPr>
            </w:pPr>
            <w:r w:rsidRPr="00A37CDD">
              <w:rPr>
                <w:rFonts w:asciiTheme="minorHAnsi" w:hAnsiTheme="minorHAnsi" w:cstheme="minorHAnsi"/>
                <w:b/>
                <w:bCs/>
                <w:sz w:val="22"/>
                <w:szCs w:val="22"/>
              </w:rPr>
              <w:t>2013</w:t>
            </w:r>
          </w:p>
        </w:tc>
        <w:tc>
          <w:tcPr>
            <w:tcW w:w="490" w:type="pct"/>
            <w:shd w:val="clear" w:color="auto" w:fill="DEEAF6" w:themeFill="accent1" w:themeFillTint="33"/>
          </w:tcPr>
          <w:p w:rsidR="00F7518D" w:rsidRPr="00A37CDD" w:rsidRDefault="00F7518D" w:rsidP="0035766F">
            <w:pPr>
              <w:rPr>
                <w:rFonts w:asciiTheme="minorHAnsi" w:hAnsiTheme="minorHAnsi" w:cstheme="minorHAnsi"/>
                <w:b/>
                <w:bCs/>
                <w:sz w:val="22"/>
                <w:szCs w:val="22"/>
              </w:rPr>
            </w:pPr>
            <w:r w:rsidRPr="00A37CDD">
              <w:rPr>
                <w:rFonts w:asciiTheme="minorHAnsi" w:hAnsiTheme="minorHAnsi" w:cstheme="minorHAnsi"/>
                <w:b/>
                <w:bCs/>
                <w:sz w:val="22"/>
                <w:szCs w:val="22"/>
              </w:rPr>
              <w:t>2015</w:t>
            </w:r>
          </w:p>
        </w:tc>
        <w:tc>
          <w:tcPr>
            <w:tcW w:w="490" w:type="pct"/>
            <w:shd w:val="clear" w:color="auto" w:fill="DEEAF6" w:themeFill="accent1" w:themeFillTint="33"/>
          </w:tcPr>
          <w:p w:rsidR="00F7518D" w:rsidRPr="00A37CDD" w:rsidRDefault="00F7518D" w:rsidP="0035766F">
            <w:pPr>
              <w:rPr>
                <w:rFonts w:asciiTheme="minorHAnsi" w:hAnsiTheme="minorHAnsi" w:cstheme="minorHAnsi"/>
                <w:b/>
                <w:bCs/>
                <w:sz w:val="22"/>
                <w:szCs w:val="22"/>
              </w:rPr>
            </w:pPr>
            <w:r w:rsidRPr="00A37CDD">
              <w:rPr>
                <w:rFonts w:asciiTheme="minorHAnsi" w:hAnsiTheme="minorHAnsi" w:cstheme="minorHAnsi"/>
                <w:b/>
                <w:bCs/>
                <w:sz w:val="22"/>
                <w:szCs w:val="22"/>
              </w:rPr>
              <w:t>2017</w:t>
            </w:r>
          </w:p>
        </w:tc>
        <w:tc>
          <w:tcPr>
            <w:tcW w:w="489" w:type="pct"/>
            <w:shd w:val="clear" w:color="auto" w:fill="DEEAF6" w:themeFill="accent1" w:themeFillTint="33"/>
          </w:tcPr>
          <w:p w:rsidR="00F7518D" w:rsidRPr="00A37CDD" w:rsidRDefault="00F7518D" w:rsidP="0035766F">
            <w:pPr>
              <w:rPr>
                <w:rFonts w:asciiTheme="minorHAnsi" w:hAnsiTheme="minorHAnsi" w:cstheme="minorHAnsi"/>
                <w:b/>
                <w:bCs/>
                <w:sz w:val="22"/>
                <w:szCs w:val="22"/>
              </w:rPr>
            </w:pPr>
            <w:r w:rsidRPr="00A37CDD">
              <w:rPr>
                <w:rFonts w:asciiTheme="minorHAnsi" w:hAnsiTheme="minorHAnsi" w:cstheme="minorHAnsi"/>
                <w:b/>
                <w:bCs/>
                <w:sz w:val="22"/>
                <w:szCs w:val="22"/>
              </w:rPr>
              <w:t>2019</w:t>
            </w:r>
          </w:p>
        </w:tc>
        <w:tc>
          <w:tcPr>
            <w:tcW w:w="489" w:type="pct"/>
            <w:shd w:val="clear" w:color="auto" w:fill="DEEAF6" w:themeFill="accent1" w:themeFillTint="33"/>
          </w:tcPr>
          <w:p w:rsidR="00F7518D" w:rsidRPr="00A37CDD" w:rsidRDefault="00F7518D" w:rsidP="0035766F">
            <w:pPr>
              <w:rPr>
                <w:rFonts w:asciiTheme="minorHAnsi" w:hAnsiTheme="minorHAnsi" w:cstheme="minorHAnsi"/>
                <w:b/>
                <w:bCs/>
                <w:sz w:val="22"/>
                <w:szCs w:val="22"/>
              </w:rPr>
            </w:pPr>
            <w:r w:rsidRPr="00A37CDD">
              <w:rPr>
                <w:rFonts w:asciiTheme="minorHAnsi" w:hAnsiTheme="minorHAnsi" w:cstheme="minorHAnsi"/>
                <w:b/>
                <w:bCs/>
                <w:sz w:val="22"/>
                <w:szCs w:val="22"/>
              </w:rPr>
              <w:t>2021</w:t>
            </w:r>
          </w:p>
        </w:tc>
        <w:tc>
          <w:tcPr>
            <w:tcW w:w="488" w:type="pct"/>
            <w:shd w:val="clear" w:color="auto" w:fill="DEEAF6" w:themeFill="accent1" w:themeFillTint="33"/>
          </w:tcPr>
          <w:p w:rsidR="00F7518D" w:rsidRPr="00A37CDD" w:rsidRDefault="00F7518D" w:rsidP="0035766F">
            <w:pPr>
              <w:rPr>
                <w:rFonts w:asciiTheme="minorHAnsi" w:hAnsiTheme="minorHAnsi" w:cstheme="minorHAnsi"/>
                <w:b/>
                <w:bCs/>
                <w:sz w:val="22"/>
                <w:szCs w:val="22"/>
              </w:rPr>
            </w:pPr>
            <w:r w:rsidRPr="00A37CDD">
              <w:rPr>
                <w:rFonts w:asciiTheme="minorHAnsi" w:hAnsiTheme="minorHAnsi" w:cstheme="minorHAnsi"/>
                <w:b/>
                <w:bCs/>
                <w:sz w:val="22"/>
                <w:szCs w:val="22"/>
              </w:rPr>
              <w:t>2023</w:t>
            </w:r>
          </w:p>
        </w:tc>
        <w:tc>
          <w:tcPr>
            <w:tcW w:w="488" w:type="pct"/>
            <w:shd w:val="clear" w:color="auto" w:fill="DEEAF6" w:themeFill="accent1" w:themeFillTint="33"/>
          </w:tcPr>
          <w:p w:rsidR="00F7518D" w:rsidRPr="00A37CDD" w:rsidRDefault="00F7518D" w:rsidP="0035766F">
            <w:pPr>
              <w:rPr>
                <w:rFonts w:asciiTheme="minorHAnsi" w:hAnsiTheme="minorHAnsi" w:cstheme="minorHAnsi"/>
                <w:b/>
                <w:bCs/>
                <w:sz w:val="22"/>
                <w:szCs w:val="22"/>
              </w:rPr>
            </w:pPr>
            <w:r w:rsidRPr="00A37CDD">
              <w:rPr>
                <w:rFonts w:asciiTheme="minorHAnsi" w:hAnsiTheme="minorHAnsi" w:cstheme="minorHAnsi"/>
                <w:b/>
                <w:bCs/>
                <w:sz w:val="22"/>
                <w:szCs w:val="22"/>
              </w:rPr>
              <w:t>2025</w:t>
            </w:r>
          </w:p>
        </w:tc>
      </w:tr>
      <w:tr w:rsidR="002330AA" w:rsidRPr="00A37CDD" w:rsidTr="00A37CDD">
        <w:tc>
          <w:tcPr>
            <w:tcW w:w="1576" w:type="pct"/>
          </w:tcPr>
          <w:p w:rsidR="00F7518D" w:rsidRPr="00A37CDD" w:rsidRDefault="00F7518D" w:rsidP="0035766F">
            <w:pPr>
              <w:rPr>
                <w:rFonts w:asciiTheme="minorHAnsi" w:hAnsiTheme="minorHAnsi" w:cstheme="minorHAnsi"/>
                <w:sz w:val="22"/>
                <w:szCs w:val="22"/>
              </w:rPr>
            </w:pPr>
            <w:r w:rsidRPr="00A37CDD">
              <w:rPr>
                <w:rFonts w:asciiTheme="minorHAnsi" w:hAnsiTheme="minorHAnsi" w:cstheme="minorHAnsi"/>
                <w:b/>
                <w:bCs/>
                <w:sz w:val="22"/>
                <w:szCs w:val="22"/>
              </w:rPr>
              <w:t>Disability</w:t>
            </w:r>
            <w:r w:rsidRPr="00A37CDD">
              <w:rPr>
                <w:rFonts w:asciiTheme="minorHAnsi" w:hAnsiTheme="minorHAnsi" w:cstheme="minorHAnsi"/>
                <w:sz w:val="22"/>
                <w:szCs w:val="22"/>
              </w:rPr>
              <w:t xml:space="preserve"> </w:t>
            </w:r>
            <w:r w:rsidRPr="00A37CDD">
              <w:rPr>
                <w:rFonts w:asciiTheme="minorHAnsi" w:hAnsiTheme="minorHAnsi" w:cstheme="minorHAnsi"/>
                <w:color w:val="7F7F7F" w:themeColor="text1" w:themeTint="80"/>
                <w:sz w:val="22"/>
                <w:szCs w:val="22"/>
              </w:rPr>
              <w:t>(% variation between disabled v’s non-disabled)</w:t>
            </w:r>
          </w:p>
        </w:tc>
        <w:tc>
          <w:tcPr>
            <w:tcW w:w="490" w:type="pct"/>
          </w:tcPr>
          <w:p w:rsidR="00F7518D" w:rsidRPr="00A37CDD" w:rsidRDefault="00F7518D" w:rsidP="0035766F">
            <w:pPr>
              <w:rPr>
                <w:rFonts w:asciiTheme="minorHAnsi" w:hAnsiTheme="minorHAnsi" w:cstheme="minorHAnsi"/>
                <w:sz w:val="22"/>
                <w:szCs w:val="22"/>
              </w:rPr>
            </w:pPr>
            <w:r w:rsidRPr="00A37CDD">
              <w:rPr>
                <w:rFonts w:asciiTheme="minorHAnsi" w:hAnsiTheme="minorHAnsi" w:cstheme="minorHAnsi"/>
                <w:sz w:val="22"/>
                <w:szCs w:val="22"/>
              </w:rPr>
              <w:t>-</w:t>
            </w:r>
          </w:p>
        </w:tc>
        <w:tc>
          <w:tcPr>
            <w:tcW w:w="490" w:type="pct"/>
          </w:tcPr>
          <w:p w:rsidR="00F7518D" w:rsidRPr="00A37CDD" w:rsidRDefault="00F7518D" w:rsidP="0035766F">
            <w:pPr>
              <w:rPr>
                <w:rFonts w:asciiTheme="minorHAnsi" w:hAnsiTheme="minorHAnsi" w:cstheme="minorHAnsi"/>
                <w:sz w:val="22"/>
                <w:szCs w:val="22"/>
              </w:rPr>
            </w:pPr>
            <w:r w:rsidRPr="00A37CDD">
              <w:rPr>
                <w:rFonts w:asciiTheme="minorHAnsi" w:hAnsiTheme="minorHAnsi" w:cstheme="minorHAnsi"/>
                <w:sz w:val="22"/>
                <w:szCs w:val="22"/>
              </w:rPr>
              <w:t>-</w:t>
            </w:r>
          </w:p>
        </w:tc>
        <w:tc>
          <w:tcPr>
            <w:tcW w:w="490" w:type="pct"/>
          </w:tcPr>
          <w:p w:rsidR="00F7518D" w:rsidRPr="00A37CDD" w:rsidRDefault="00F7518D" w:rsidP="0035766F">
            <w:pPr>
              <w:rPr>
                <w:rFonts w:asciiTheme="minorHAnsi" w:hAnsiTheme="minorHAnsi" w:cstheme="minorHAnsi"/>
                <w:sz w:val="22"/>
                <w:szCs w:val="22"/>
              </w:rPr>
            </w:pPr>
            <w:r w:rsidRPr="00A37CDD">
              <w:rPr>
                <w:rFonts w:asciiTheme="minorHAnsi" w:hAnsiTheme="minorHAnsi" w:cstheme="minorHAnsi"/>
                <w:sz w:val="22"/>
                <w:szCs w:val="22"/>
              </w:rPr>
              <w:t>-0.88%</w:t>
            </w:r>
          </w:p>
        </w:tc>
        <w:tc>
          <w:tcPr>
            <w:tcW w:w="489" w:type="pct"/>
          </w:tcPr>
          <w:p w:rsidR="00F7518D" w:rsidRPr="00A37CDD" w:rsidRDefault="00F7518D" w:rsidP="0035766F">
            <w:pPr>
              <w:rPr>
                <w:rFonts w:asciiTheme="minorHAnsi" w:hAnsiTheme="minorHAnsi" w:cstheme="minorHAnsi"/>
                <w:sz w:val="22"/>
                <w:szCs w:val="22"/>
              </w:rPr>
            </w:pPr>
            <w:r w:rsidRPr="00A37CDD">
              <w:rPr>
                <w:rFonts w:asciiTheme="minorHAnsi" w:hAnsiTheme="minorHAnsi" w:cstheme="minorHAnsi"/>
                <w:sz w:val="22"/>
                <w:szCs w:val="22"/>
              </w:rPr>
              <w:t>-4.94%</w:t>
            </w:r>
          </w:p>
        </w:tc>
        <w:tc>
          <w:tcPr>
            <w:tcW w:w="489" w:type="pct"/>
          </w:tcPr>
          <w:p w:rsidR="00F7518D" w:rsidRPr="00A37CDD" w:rsidRDefault="00F7518D" w:rsidP="0035766F">
            <w:pPr>
              <w:rPr>
                <w:rFonts w:asciiTheme="minorHAnsi" w:hAnsiTheme="minorHAnsi" w:cstheme="minorHAnsi"/>
                <w:sz w:val="22"/>
                <w:szCs w:val="22"/>
              </w:rPr>
            </w:pPr>
            <w:r w:rsidRPr="00A37CDD">
              <w:rPr>
                <w:rFonts w:asciiTheme="minorHAnsi" w:hAnsiTheme="minorHAnsi" w:cstheme="minorHAnsi"/>
                <w:sz w:val="22"/>
                <w:szCs w:val="22"/>
              </w:rPr>
              <w:t>-4.44%</w:t>
            </w:r>
          </w:p>
        </w:tc>
        <w:tc>
          <w:tcPr>
            <w:tcW w:w="488" w:type="pct"/>
          </w:tcPr>
          <w:p w:rsidR="00F7518D" w:rsidRPr="00A37CDD" w:rsidRDefault="00F7518D" w:rsidP="0035766F">
            <w:pPr>
              <w:rPr>
                <w:rFonts w:asciiTheme="minorHAnsi" w:hAnsiTheme="minorHAnsi" w:cstheme="minorHAnsi"/>
                <w:sz w:val="22"/>
                <w:szCs w:val="22"/>
              </w:rPr>
            </w:pPr>
            <w:r w:rsidRPr="00A37CDD">
              <w:rPr>
                <w:rFonts w:asciiTheme="minorHAnsi" w:hAnsiTheme="minorHAnsi" w:cstheme="minorHAnsi"/>
                <w:sz w:val="22"/>
                <w:szCs w:val="22"/>
              </w:rPr>
              <w:t>-7.84%</w:t>
            </w:r>
          </w:p>
        </w:tc>
        <w:tc>
          <w:tcPr>
            <w:tcW w:w="488" w:type="pct"/>
          </w:tcPr>
          <w:p w:rsidR="00F7518D" w:rsidRPr="00A37CDD" w:rsidRDefault="00F7518D" w:rsidP="002330AA">
            <w:pPr>
              <w:rPr>
                <w:rFonts w:asciiTheme="minorHAnsi" w:hAnsiTheme="minorHAnsi" w:cstheme="minorHAnsi"/>
                <w:sz w:val="22"/>
                <w:szCs w:val="22"/>
              </w:rPr>
            </w:pPr>
            <w:r w:rsidRPr="00A37CDD">
              <w:rPr>
                <w:rFonts w:asciiTheme="minorHAnsi" w:hAnsiTheme="minorHAnsi" w:cstheme="minorHAnsi"/>
                <w:sz w:val="22"/>
                <w:szCs w:val="22"/>
              </w:rPr>
              <w:t>-</w:t>
            </w:r>
            <w:r w:rsidR="002330AA">
              <w:rPr>
                <w:rFonts w:asciiTheme="minorHAnsi" w:hAnsiTheme="minorHAnsi" w:cstheme="minorHAnsi"/>
                <w:sz w:val="22"/>
                <w:szCs w:val="22"/>
              </w:rPr>
              <w:t>9.39</w:t>
            </w:r>
            <w:r w:rsidRPr="00A37CDD">
              <w:rPr>
                <w:rFonts w:asciiTheme="minorHAnsi" w:hAnsiTheme="minorHAnsi" w:cstheme="minorHAnsi"/>
                <w:sz w:val="22"/>
                <w:szCs w:val="22"/>
              </w:rPr>
              <w:t>%</w:t>
            </w:r>
          </w:p>
        </w:tc>
      </w:tr>
      <w:tr w:rsidR="002330AA" w:rsidRPr="00A37CDD" w:rsidTr="00A37CDD">
        <w:tc>
          <w:tcPr>
            <w:tcW w:w="1576" w:type="pct"/>
          </w:tcPr>
          <w:p w:rsidR="00F7518D" w:rsidRPr="00A37CDD" w:rsidRDefault="00F7518D" w:rsidP="0035766F">
            <w:pPr>
              <w:rPr>
                <w:rFonts w:asciiTheme="minorHAnsi" w:hAnsiTheme="minorHAnsi" w:cstheme="minorHAnsi"/>
                <w:sz w:val="22"/>
                <w:szCs w:val="22"/>
              </w:rPr>
            </w:pPr>
            <w:r w:rsidRPr="00A37CDD">
              <w:rPr>
                <w:rFonts w:asciiTheme="minorHAnsi" w:hAnsiTheme="minorHAnsi" w:cstheme="minorHAnsi"/>
                <w:b/>
                <w:bCs/>
                <w:sz w:val="22"/>
                <w:szCs w:val="22"/>
              </w:rPr>
              <w:t>Gender</w:t>
            </w:r>
            <w:r w:rsidRPr="00A37CDD">
              <w:rPr>
                <w:rFonts w:asciiTheme="minorHAnsi" w:hAnsiTheme="minorHAnsi" w:cstheme="minorHAnsi"/>
                <w:sz w:val="22"/>
                <w:szCs w:val="22"/>
              </w:rPr>
              <w:t xml:space="preserve"> </w:t>
            </w:r>
            <w:r w:rsidRPr="00A37CDD">
              <w:rPr>
                <w:rFonts w:asciiTheme="minorHAnsi" w:hAnsiTheme="minorHAnsi" w:cstheme="minorHAnsi"/>
                <w:color w:val="7F7F7F" w:themeColor="text1" w:themeTint="80"/>
                <w:sz w:val="22"/>
                <w:szCs w:val="22"/>
              </w:rPr>
              <w:t>(% variation between male v’s female)</w:t>
            </w:r>
          </w:p>
        </w:tc>
        <w:tc>
          <w:tcPr>
            <w:tcW w:w="490" w:type="pct"/>
          </w:tcPr>
          <w:p w:rsidR="00F7518D" w:rsidRPr="00A37CDD" w:rsidRDefault="00F7518D" w:rsidP="0035766F">
            <w:pPr>
              <w:rPr>
                <w:rFonts w:asciiTheme="minorHAnsi" w:hAnsiTheme="minorHAnsi" w:cstheme="minorHAnsi"/>
                <w:sz w:val="22"/>
                <w:szCs w:val="22"/>
              </w:rPr>
            </w:pPr>
            <w:r w:rsidRPr="00A37CDD">
              <w:rPr>
                <w:rFonts w:asciiTheme="minorHAnsi" w:hAnsiTheme="minorHAnsi" w:cstheme="minorHAnsi"/>
                <w:sz w:val="22"/>
                <w:szCs w:val="22"/>
              </w:rPr>
              <w:t>21.47%</w:t>
            </w:r>
          </w:p>
        </w:tc>
        <w:tc>
          <w:tcPr>
            <w:tcW w:w="490" w:type="pct"/>
          </w:tcPr>
          <w:p w:rsidR="00F7518D" w:rsidRPr="00A37CDD" w:rsidRDefault="00F7518D" w:rsidP="0035766F">
            <w:pPr>
              <w:rPr>
                <w:rFonts w:asciiTheme="minorHAnsi" w:hAnsiTheme="minorHAnsi" w:cstheme="minorHAnsi"/>
                <w:sz w:val="22"/>
                <w:szCs w:val="22"/>
              </w:rPr>
            </w:pPr>
            <w:r w:rsidRPr="00A37CDD">
              <w:rPr>
                <w:rFonts w:asciiTheme="minorHAnsi" w:hAnsiTheme="minorHAnsi" w:cstheme="minorHAnsi"/>
                <w:sz w:val="22"/>
                <w:szCs w:val="22"/>
              </w:rPr>
              <w:t>20.43%</w:t>
            </w:r>
          </w:p>
        </w:tc>
        <w:tc>
          <w:tcPr>
            <w:tcW w:w="490" w:type="pct"/>
          </w:tcPr>
          <w:p w:rsidR="00F7518D" w:rsidRPr="00A37CDD" w:rsidRDefault="00F7518D" w:rsidP="0035766F">
            <w:pPr>
              <w:rPr>
                <w:rFonts w:asciiTheme="minorHAnsi" w:hAnsiTheme="minorHAnsi" w:cstheme="minorHAnsi"/>
                <w:sz w:val="22"/>
                <w:szCs w:val="22"/>
              </w:rPr>
            </w:pPr>
            <w:r w:rsidRPr="00A37CDD">
              <w:rPr>
                <w:rFonts w:asciiTheme="minorHAnsi" w:hAnsiTheme="minorHAnsi" w:cstheme="minorHAnsi"/>
                <w:sz w:val="22"/>
                <w:szCs w:val="22"/>
              </w:rPr>
              <w:t>20.69%</w:t>
            </w:r>
          </w:p>
        </w:tc>
        <w:tc>
          <w:tcPr>
            <w:tcW w:w="489" w:type="pct"/>
          </w:tcPr>
          <w:p w:rsidR="00F7518D" w:rsidRPr="00A37CDD" w:rsidRDefault="00F7518D" w:rsidP="0035766F">
            <w:pPr>
              <w:rPr>
                <w:rFonts w:asciiTheme="minorHAnsi" w:hAnsiTheme="minorHAnsi" w:cstheme="minorHAnsi"/>
                <w:sz w:val="22"/>
                <w:szCs w:val="22"/>
              </w:rPr>
            </w:pPr>
            <w:r w:rsidRPr="00A37CDD">
              <w:rPr>
                <w:rFonts w:asciiTheme="minorHAnsi" w:hAnsiTheme="minorHAnsi" w:cstheme="minorHAnsi"/>
                <w:sz w:val="22"/>
                <w:szCs w:val="22"/>
              </w:rPr>
              <w:t>19.90%</w:t>
            </w:r>
          </w:p>
        </w:tc>
        <w:tc>
          <w:tcPr>
            <w:tcW w:w="489" w:type="pct"/>
          </w:tcPr>
          <w:p w:rsidR="00F7518D" w:rsidRPr="00A37CDD" w:rsidRDefault="00F7518D" w:rsidP="0035766F">
            <w:pPr>
              <w:rPr>
                <w:rFonts w:asciiTheme="minorHAnsi" w:hAnsiTheme="minorHAnsi" w:cstheme="minorHAnsi"/>
                <w:sz w:val="22"/>
                <w:szCs w:val="22"/>
              </w:rPr>
            </w:pPr>
            <w:r w:rsidRPr="00A37CDD">
              <w:rPr>
                <w:rFonts w:asciiTheme="minorHAnsi" w:hAnsiTheme="minorHAnsi" w:cstheme="minorHAnsi"/>
                <w:sz w:val="22"/>
                <w:szCs w:val="22"/>
              </w:rPr>
              <w:t>19.36%</w:t>
            </w:r>
          </w:p>
        </w:tc>
        <w:tc>
          <w:tcPr>
            <w:tcW w:w="488" w:type="pct"/>
          </w:tcPr>
          <w:p w:rsidR="00F7518D" w:rsidRPr="00A37CDD" w:rsidRDefault="002330AA" w:rsidP="002330AA">
            <w:pPr>
              <w:rPr>
                <w:rFonts w:asciiTheme="minorHAnsi" w:hAnsiTheme="minorHAnsi" w:cstheme="minorHAnsi"/>
                <w:sz w:val="22"/>
                <w:szCs w:val="22"/>
              </w:rPr>
            </w:pPr>
            <w:r>
              <w:rPr>
                <w:rFonts w:asciiTheme="minorHAnsi" w:hAnsiTheme="minorHAnsi" w:cstheme="minorHAnsi"/>
                <w:sz w:val="22"/>
                <w:szCs w:val="22"/>
              </w:rPr>
              <w:t>1</w:t>
            </w:r>
            <w:r w:rsidR="00F7518D" w:rsidRPr="00A37CDD">
              <w:rPr>
                <w:rFonts w:asciiTheme="minorHAnsi" w:hAnsiTheme="minorHAnsi" w:cstheme="minorHAnsi"/>
                <w:sz w:val="22"/>
                <w:szCs w:val="22"/>
              </w:rPr>
              <w:t>6.85%</w:t>
            </w:r>
          </w:p>
        </w:tc>
        <w:tc>
          <w:tcPr>
            <w:tcW w:w="488" w:type="pct"/>
          </w:tcPr>
          <w:p w:rsidR="00F7518D" w:rsidRPr="00A37CDD" w:rsidRDefault="002330AA" w:rsidP="002330AA">
            <w:pPr>
              <w:rPr>
                <w:rFonts w:asciiTheme="minorHAnsi" w:hAnsiTheme="minorHAnsi" w:cstheme="minorHAnsi"/>
                <w:sz w:val="22"/>
                <w:szCs w:val="22"/>
              </w:rPr>
            </w:pPr>
            <w:r>
              <w:rPr>
                <w:rFonts w:asciiTheme="minorHAnsi" w:hAnsiTheme="minorHAnsi" w:cstheme="minorHAnsi"/>
                <w:sz w:val="22"/>
                <w:szCs w:val="22"/>
              </w:rPr>
              <w:t>18.18%</w:t>
            </w:r>
          </w:p>
        </w:tc>
      </w:tr>
      <w:tr w:rsidR="002330AA" w:rsidRPr="00A37CDD" w:rsidTr="00A37CDD">
        <w:tc>
          <w:tcPr>
            <w:tcW w:w="1576" w:type="pct"/>
          </w:tcPr>
          <w:p w:rsidR="00F7518D" w:rsidRPr="00A37CDD" w:rsidRDefault="00F7518D" w:rsidP="0035766F">
            <w:pPr>
              <w:rPr>
                <w:rFonts w:asciiTheme="minorHAnsi" w:hAnsiTheme="minorHAnsi" w:cstheme="minorHAnsi"/>
                <w:sz w:val="22"/>
                <w:szCs w:val="22"/>
              </w:rPr>
            </w:pPr>
            <w:r w:rsidRPr="00A37CDD">
              <w:rPr>
                <w:rFonts w:asciiTheme="minorHAnsi" w:hAnsiTheme="minorHAnsi" w:cstheme="minorHAnsi"/>
                <w:b/>
                <w:bCs/>
                <w:sz w:val="22"/>
                <w:szCs w:val="22"/>
              </w:rPr>
              <w:t>Race</w:t>
            </w:r>
            <w:r w:rsidRPr="00A37CDD">
              <w:rPr>
                <w:rFonts w:asciiTheme="minorHAnsi" w:hAnsiTheme="minorHAnsi" w:cstheme="minorHAnsi"/>
                <w:sz w:val="22"/>
                <w:szCs w:val="22"/>
              </w:rPr>
              <w:t xml:space="preserve"> </w:t>
            </w:r>
            <w:r w:rsidRPr="00A37CDD">
              <w:rPr>
                <w:rFonts w:asciiTheme="minorHAnsi" w:hAnsiTheme="minorHAnsi" w:cstheme="minorHAnsi"/>
                <w:color w:val="7F7F7F" w:themeColor="text1" w:themeTint="80"/>
                <w:sz w:val="22"/>
                <w:szCs w:val="22"/>
              </w:rPr>
              <w:t>(% variation between employees from a Diverse Ethnic background v’s white)</w:t>
            </w:r>
          </w:p>
        </w:tc>
        <w:tc>
          <w:tcPr>
            <w:tcW w:w="490" w:type="pct"/>
          </w:tcPr>
          <w:p w:rsidR="00F7518D" w:rsidRPr="00A37CDD" w:rsidRDefault="00F7518D" w:rsidP="0035766F">
            <w:pPr>
              <w:rPr>
                <w:rFonts w:asciiTheme="minorHAnsi" w:hAnsiTheme="minorHAnsi" w:cstheme="minorHAnsi"/>
                <w:sz w:val="22"/>
                <w:szCs w:val="22"/>
              </w:rPr>
            </w:pPr>
            <w:r w:rsidRPr="00A37CDD">
              <w:rPr>
                <w:rFonts w:asciiTheme="minorHAnsi" w:hAnsiTheme="minorHAnsi" w:cstheme="minorHAnsi"/>
                <w:sz w:val="22"/>
                <w:szCs w:val="22"/>
              </w:rPr>
              <w:t>-</w:t>
            </w:r>
          </w:p>
        </w:tc>
        <w:tc>
          <w:tcPr>
            <w:tcW w:w="490" w:type="pct"/>
          </w:tcPr>
          <w:p w:rsidR="00F7518D" w:rsidRPr="00A37CDD" w:rsidRDefault="00F7518D" w:rsidP="0035766F">
            <w:pPr>
              <w:rPr>
                <w:rFonts w:asciiTheme="minorHAnsi" w:hAnsiTheme="minorHAnsi" w:cstheme="minorHAnsi"/>
                <w:sz w:val="22"/>
                <w:szCs w:val="22"/>
              </w:rPr>
            </w:pPr>
            <w:r w:rsidRPr="00A37CDD">
              <w:rPr>
                <w:rFonts w:asciiTheme="minorHAnsi" w:hAnsiTheme="minorHAnsi" w:cstheme="minorHAnsi"/>
                <w:sz w:val="22"/>
                <w:szCs w:val="22"/>
              </w:rPr>
              <w:t>-</w:t>
            </w:r>
          </w:p>
        </w:tc>
        <w:tc>
          <w:tcPr>
            <w:tcW w:w="490" w:type="pct"/>
          </w:tcPr>
          <w:p w:rsidR="00F7518D" w:rsidRPr="00A37CDD" w:rsidRDefault="00F7518D" w:rsidP="0035766F">
            <w:pPr>
              <w:rPr>
                <w:rFonts w:asciiTheme="minorHAnsi" w:hAnsiTheme="minorHAnsi" w:cstheme="minorHAnsi"/>
                <w:sz w:val="22"/>
                <w:szCs w:val="22"/>
              </w:rPr>
            </w:pPr>
            <w:r w:rsidRPr="00A37CDD">
              <w:rPr>
                <w:rFonts w:asciiTheme="minorHAnsi" w:hAnsiTheme="minorHAnsi" w:cstheme="minorHAnsi"/>
                <w:sz w:val="22"/>
                <w:szCs w:val="22"/>
              </w:rPr>
              <w:t>32.65%</w:t>
            </w:r>
          </w:p>
        </w:tc>
        <w:tc>
          <w:tcPr>
            <w:tcW w:w="489" w:type="pct"/>
          </w:tcPr>
          <w:p w:rsidR="00F7518D" w:rsidRPr="00A37CDD" w:rsidRDefault="00F7518D" w:rsidP="0035766F">
            <w:pPr>
              <w:rPr>
                <w:rFonts w:asciiTheme="minorHAnsi" w:hAnsiTheme="minorHAnsi" w:cstheme="minorHAnsi"/>
                <w:sz w:val="22"/>
                <w:szCs w:val="22"/>
              </w:rPr>
            </w:pPr>
            <w:r w:rsidRPr="00A37CDD">
              <w:rPr>
                <w:rFonts w:asciiTheme="minorHAnsi" w:hAnsiTheme="minorHAnsi" w:cstheme="minorHAnsi"/>
                <w:sz w:val="22"/>
                <w:szCs w:val="22"/>
              </w:rPr>
              <w:t>5.55%</w:t>
            </w:r>
          </w:p>
        </w:tc>
        <w:tc>
          <w:tcPr>
            <w:tcW w:w="489" w:type="pct"/>
          </w:tcPr>
          <w:p w:rsidR="00F7518D" w:rsidRPr="00A37CDD" w:rsidRDefault="00F7518D" w:rsidP="0035766F">
            <w:pPr>
              <w:rPr>
                <w:rFonts w:asciiTheme="minorHAnsi" w:hAnsiTheme="minorHAnsi" w:cstheme="minorHAnsi"/>
                <w:sz w:val="22"/>
                <w:szCs w:val="22"/>
              </w:rPr>
            </w:pPr>
            <w:r w:rsidRPr="00A37CDD">
              <w:rPr>
                <w:rFonts w:asciiTheme="minorHAnsi" w:hAnsiTheme="minorHAnsi" w:cstheme="minorHAnsi"/>
                <w:sz w:val="22"/>
                <w:szCs w:val="22"/>
              </w:rPr>
              <w:t>28.25%</w:t>
            </w:r>
          </w:p>
        </w:tc>
        <w:tc>
          <w:tcPr>
            <w:tcW w:w="488" w:type="pct"/>
          </w:tcPr>
          <w:p w:rsidR="00F7518D" w:rsidRPr="00A37CDD" w:rsidRDefault="00F7518D" w:rsidP="0035766F">
            <w:pPr>
              <w:rPr>
                <w:rFonts w:asciiTheme="minorHAnsi" w:hAnsiTheme="minorHAnsi" w:cstheme="minorHAnsi"/>
                <w:sz w:val="22"/>
                <w:szCs w:val="22"/>
              </w:rPr>
            </w:pPr>
            <w:r w:rsidRPr="00A37CDD">
              <w:rPr>
                <w:rFonts w:asciiTheme="minorHAnsi" w:hAnsiTheme="minorHAnsi" w:cstheme="minorHAnsi"/>
                <w:sz w:val="22"/>
                <w:szCs w:val="22"/>
              </w:rPr>
              <w:t>22.44%</w:t>
            </w:r>
          </w:p>
        </w:tc>
        <w:tc>
          <w:tcPr>
            <w:tcW w:w="488" w:type="pct"/>
          </w:tcPr>
          <w:p w:rsidR="00F7518D" w:rsidRPr="00A37CDD" w:rsidRDefault="002330AA" w:rsidP="002330AA">
            <w:pPr>
              <w:rPr>
                <w:rFonts w:asciiTheme="minorHAnsi" w:hAnsiTheme="minorHAnsi" w:cstheme="minorHAnsi"/>
                <w:sz w:val="22"/>
                <w:szCs w:val="22"/>
              </w:rPr>
            </w:pPr>
            <w:r>
              <w:rPr>
                <w:rFonts w:asciiTheme="minorHAnsi" w:hAnsiTheme="minorHAnsi" w:cstheme="minorHAnsi"/>
                <w:sz w:val="22"/>
                <w:szCs w:val="22"/>
              </w:rPr>
              <w:t>14.80</w:t>
            </w:r>
            <w:r w:rsidR="00F7518D" w:rsidRPr="00A37CDD">
              <w:rPr>
                <w:rFonts w:asciiTheme="minorHAnsi" w:hAnsiTheme="minorHAnsi" w:cstheme="minorHAnsi"/>
                <w:sz w:val="22"/>
                <w:szCs w:val="22"/>
              </w:rPr>
              <w:t>%</w:t>
            </w:r>
          </w:p>
        </w:tc>
      </w:tr>
    </w:tbl>
    <w:p w:rsidR="00A37CDD" w:rsidRDefault="00A37CDD" w:rsidP="00C42289">
      <w:pPr>
        <w:ind w:left="720"/>
        <w:jc w:val="both"/>
        <w:rPr>
          <w:rFonts w:cs="Arial"/>
          <w:szCs w:val="24"/>
        </w:rPr>
      </w:pPr>
    </w:p>
    <w:p w:rsidR="00C42289" w:rsidRPr="00A37CDD" w:rsidRDefault="00C42289" w:rsidP="00C42289">
      <w:pPr>
        <w:ind w:left="720"/>
        <w:jc w:val="both"/>
        <w:rPr>
          <w:rFonts w:cs="Arial"/>
          <w:szCs w:val="24"/>
        </w:rPr>
      </w:pPr>
      <w:r w:rsidRPr="00A37CDD">
        <w:rPr>
          <w:rFonts w:cs="Arial"/>
          <w:szCs w:val="24"/>
        </w:rPr>
        <w:t>The details of the 202</w:t>
      </w:r>
      <w:r w:rsidR="00F7518D" w:rsidRPr="00A37CDD">
        <w:rPr>
          <w:rFonts w:cs="Arial"/>
          <w:szCs w:val="24"/>
        </w:rPr>
        <w:t>5</w:t>
      </w:r>
      <w:r w:rsidRPr="00A37CDD">
        <w:rPr>
          <w:rFonts w:cs="Arial"/>
          <w:szCs w:val="24"/>
        </w:rPr>
        <w:t xml:space="preserve"> Equal Pay Gap Analysis </w:t>
      </w:r>
      <w:r w:rsidR="00A37CDD">
        <w:rPr>
          <w:rFonts w:cs="Arial"/>
          <w:szCs w:val="24"/>
        </w:rPr>
        <w:t>are</w:t>
      </w:r>
      <w:r w:rsidRPr="00A37CDD">
        <w:rPr>
          <w:rFonts w:cs="Arial"/>
          <w:szCs w:val="24"/>
        </w:rPr>
        <w:t xml:space="preserve"> included as Appendix 1</w:t>
      </w:r>
      <w:r w:rsidR="00A37CDD">
        <w:rPr>
          <w:rFonts w:cs="Arial"/>
          <w:szCs w:val="24"/>
        </w:rPr>
        <w:t xml:space="preserve"> and </w:t>
      </w:r>
      <w:r w:rsidRPr="00A37CDD">
        <w:rPr>
          <w:rFonts w:cs="Arial"/>
          <w:szCs w:val="24"/>
        </w:rPr>
        <w:t>incorporates the following information:</w:t>
      </w:r>
    </w:p>
    <w:p w:rsidR="00C42289" w:rsidRPr="00C42289" w:rsidRDefault="00C42289" w:rsidP="00C42289">
      <w:pPr>
        <w:ind w:left="252"/>
        <w:jc w:val="both"/>
        <w:rPr>
          <w:rFonts w:cs="Arial"/>
          <w:szCs w:val="24"/>
          <w:highlight w:val="yellow"/>
        </w:rPr>
      </w:pPr>
    </w:p>
    <w:p w:rsidR="00C42289" w:rsidRPr="009620AC" w:rsidRDefault="00C42289" w:rsidP="00C42289">
      <w:pPr>
        <w:pStyle w:val="ListParagraph"/>
        <w:numPr>
          <w:ilvl w:val="0"/>
          <w:numId w:val="23"/>
        </w:numPr>
        <w:ind w:left="1134" w:hanging="425"/>
        <w:contextualSpacing/>
        <w:jc w:val="both"/>
        <w:rPr>
          <w:rFonts w:ascii="Arial" w:hAnsi="Arial" w:cs="Arial"/>
          <w:sz w:val="24"/>
          <w:szCs w:val="24"/>
        </w:rPr>
      </w:pPr>
      <w:r w:rsidRPr="009620AC">
        <w:rPr>
          <w:rFonts w:ascii="Arial" w:hAnsi="Arial" w:cs="Arial"/>
          <w:sz w:val="24"/>
          <w:szCs w:val="24"/>
        </w:rPr>
        <w:t>Gender Pay Gap information.</w:t>
      </w:r>
    </w:p>
    <w:p w:rsidR="00C42289" w:rsidRPr="009620AC" w:rsidRDefault="00C42289" w:rsidP="00C42289">
      <w:pPr>
        <w:pStyle w:val="ListParagraph"/>
        <w:numPr>
          <w:ilvl w:val="0"/>
          <w:numId w:val="23"/>
        </w:numPr>
        <w:ind w:left="1134" w:hanging="425"/>
        <w:contextualSpacing/>
        <w:jc w:val="both"/>
        <w:rPr>
          <w:rFonts w:ascii="Arial" w:hAnsi="Arial" w:cs="Arial"/>
          <w:sz w:val="24"/>
          <w:szCs w:val="24"/>
        </w:rPr>
      </w:pPr>
      <w:r w:rsidRPr="009620AC">
        <w:rPr>
          <w:rFonts w:ascii="Arial" w:hAnsi="Arial" w:cs="Arial"/>
          <w:sz w:val="24"/>
          <w:szCs w:val="24"/>
        </w:rPr>
        <w:lastRenderedPageBreak/>
        <w:t xml:space="preserve">Information on Equal Pay and Occupational Segregation for the protected characteristic groups of Disability, </w:t>
      </w:r>
      <w:r w:rsidR="00384150">
        <w:rPr>
          <w:rFonts w:ascii="Arial" w:hAnsi="Arial" w:cs="Arial"/>
          <w:sz w:val="24"/>
          <w:szCs w:val="24"/>
        </w:rPr>
        <w:t>Gender</w:t>
      </w:r>
      <w:r w:rsidRPr="009620AC">
        <w:rPr>
          <w:rFonts w:ascii="Arial" w:hAnsi="Arial" w:cs="Arial"/>
          <w:sz w:val="24"/>
          <w:szCs w:val="24"/>
        </w:rPr>
        <w:t xml:space="preserve"> and Race.</w:t>
      </w:r>
    </w:p>
    <w:p w:rsidR="00C42289" w:rsidRPr="009620AC" w:rsidRDefault="00C42289" w:rsidP="00C42289">
      <w:pPr>
        <w:pStyle w:val="ListParagraph"/>
        <w:numPr>
          <w:ilvl w:val="0"/>
          <w:numId w:val="23"/>
        </w:numPr>
        <w:ind w:left="1134" w:hanging="425"/>
        <w:contextualSpacing/>
        <w:jc w:val="both"/>
        <w:rPr>
          <w:rFonts w:ascii="Arial" w:hAnsi="Arial" w:cs="Arial"/>
          <w:sz w:val="24"/>
          <w:szCs w:val="24"/>
        </w:rPr>
      </w:pPr>
      <w:r w:rsidRPr="009620AC">
        <w:rPr>
          <w:rFonts w:ascii="Arial" w:hAnsi="Arial" w:cs="Arial"/>
          <w:sz w:val="24"/>
          <w:szCs w:val="24"/>
        </w:rPr>
        <w:t>Steps to be taken to demonstrate our commitment to contributing to a more equal society.</w:t>
      </w:r>
    </w:p>
    <w:p w:rsidR="00C42289" w:rsidRPr="00C42289" w:rsidRDefault="00C42289" w:rsidP="00C42289">
      <w:pPr>
        <w:ind w:left="252"/>
        <w:jc w:val="both"/>
        <w:rPr>
          <w:rFonts w:cs="Arial"/>
          <w:szCs w:val="24"/>
          <w:highlight w:val="yellow"/>
        </w:rPr>
      </w:pPr>
    </w:p>
    <w:p w:rsidR="001048A7" w:rsidRPr="001048A7" w:rsidRDefault="00451835" w:rsidP="001048A7">
      <w:pPr>
        <w:ind w:left="720"/>
        <w:jc w:val="both"/>
        <w:rPr>
          <w:rFonts w:cs="Arial"/>
          <w:szCs w:val="24"/>
        </w:rPr>
      </w:pPr>
      <w:r w:rsidRPr="00451835">
        <w:rPr>
          <w:rFonts w:cs="Arial"/>
          <w:szCs w:val="24"/>
        </w:rPr>
        <w:t xml:space="preserve">The conclusion of the </w:t>
      </w:r>
      <w:r w:rsidR="00815424">
        <w:rPr>
          <w:rFonts w:cs="Arial"/>
          <w:szCs w:val="24"/>
        </w:rPr>
        <w:t xml:space="preserve">2025 </w:t>
      </w:r>
      <w:r w:rsidRPr="00451835">
        <w:rPr>
          <w:rFonts w:cs="Arial"/>
          <w:szCs w:val="24"/>
        </w:rPr>
        <w:t>Equal Pay Gap Analysis is that the implementation o</w:t>
      </w:r>
      <w:r w:rsidR="00815424">
        <w:rPr>
          <w:rFonts w:cs="Arial"/>
          <w:szCs w:val="24"/>
        </w:rPr>
        <w:t>f</w:t>
      </w:r>
      <w:r w:rsidRPr="00451835">
        <w:rPr>
          <w:rFonts w:cs="Arial"/>
          <w:szCs w:val="24"/>
        </w:rPr>
        <w:t xml:space="preserve"> nationally agreed Workforce Policies and Procedures </w:t>
      </w:r>
      <w:r w:rsidR="001048A7" w:rsidRPr="001048A7">
        <w:rPr>
          <w:rFonts w:cs="Arial"/>
          <w:szCs w:val="24"/>
        </w:rPr>
        <w:t xml:space="preserve">ensures that any pay gaps highlighted in this report are not linked to an employee’s Protected Characteristic status, rather they are explained by other factors such as the capture of Protected Characteristic information within the recruitment process or by occupational (gender) segregation, particularly how the higher prevalence of male employees within non Agenda for Change pay rates has had the impact of increase the average hourly rate of pay for male employees. </w:t>
      </w:r>
    </w:p>
    <w:p w:rsidR="001048A7" w:rsidRPr="00C42289" w:rsidRDefault="001048A7" w:rsidP="00C42289">
      <w:pPr>
        <w:ind w:left="720"/>
        <w:jc w:val="both"/>
        <w:rPr>
          <w:rFonts w:cs="Arial"/>
          <w:szCs w:val="24"/>
          <w:highlight w:val="yellow"/>
        </w:rPr>
      </w:pPr>
    </w:p>
    <w:p w:rsidR="00C42289" w:rsidRPr="00A37CDD" w:rsidRDefault="00C42289" w:rsidP="00C42289">
      <w:pPr>
        <w:ind w:left="720"/>
        <w:jc w:val="both"/>
        <w:rPr>
          <w:rFonts w:cs="Arial"/>
          <w:szCs w:val="24"/>
        </w:rPr>
      </w:pPr>
      <w:r w:rsidRPr="00A37CDD">
        <w:rPr>
          <w:rFonts w:cs="Arial"/>
          <w:szCs w:val="24"/>
        </w:rPr>
        <w:t xml:space="preserve">The report also incorporates a series of recommendations to be progressed in the coming months in order to demonstrate this finding.  These are: </w:t>
      </w:r>
    </w:p>
    <w:p w:rsidR="00C42289" w:rsidRPr="00C42289" w:rsidRDefault="00C42289" w:rsidP="00C42289">
      <w:pPr>
        <w:ind w:left="252"/>
        <w:jc w:val="both"/>
        <w:rPr>
          <w:rFonts w:cs="Arial"/>
          <w:szCs w:val="24"/>
          <w:highlight w:val="yellow"/>
        </w:rPr>
      </w:pPr>
    </w:p>
    <w:p w:rsidR="00C42289" w:rsidRPr="004B0B0B" w:rsidRDefault="00C42289" w:rsidP="00C42289">
      <w:pPr>
        <w:pStyle w:val="ListParagraph"/>
        <w:numPr>
          <w:ilvl w:val="0"/>
          <w:numId w:val="21"/>
        </w:numPr>
        <w:ind w:left="1134" w:hanging="425"/>
        <w:contextualSpacing/>
        <w:jc w:val="both"/>
        <w:rPr>
          <w:rFonts w:ascii="Arial" w:hAnsi="Arial" w:cs="Arial"/>
          <w:sz w:val="24"/>
          <w:szCs w:val="24"/>
        </w:rPr>
      </w:pPr>
      <w:r w:rsidRPr="004B0B0B">
        <w:rPr>
          <w:rFonts w:ascii="Arial" w:hAnsi="Arial" w:cs="Arial"/>
          <w:sz w:val="24"/>
          <w:szCs w:val="24"/>
        </w:rPr>
        <w:t xml:space="preserve">All employees will be encouraged to update their personal information, including their protected characteristic status, via the eESS Employee Self Service Functionality.  This will facilitate a higher positive response rate for each of the characteristic groups, thereby improving the robustness of future audits.  </w:t>
      </w:r>
    </w:p>
    <w:p w:rsidR="00C42289" w:rsidRPr="00C42289" w:rsidRDefault="00C42289" w:rsidP="00C42289">
      <w:pPr>
        <w:pStyle w:val="ListParagraph"/>
        <w:ind w:left="1134" w:hanging="425"/>
        <w:contextualSpacing/>
        <w:jc w:val="both"/>
        <w:rPr>
          <w:rFonts w:ascii="Arial" w:hAnsi="Arial" w:cs="Arial"/>
          <w:sz w:val="24"/>
          <w:szCs w:val="24"/>
          <w:highlight w:val="yellow"/>
        </w:rPr>
      </w:pPr>
    </w:p>
    <w:p w:rsidR="00C42289" w:rsidRPr="004B0B0B" w:rsidRDefault="00C42289" w:rsidP="00C42289">
      <w:pPr>
        <w:pStyle w:val="ListParagraph"/>
        <w:numPr>
          <w:ilvl w:val="0"/>
          <w:numId w:val="21"/>
        </w:numPr>
        <w:ind w:left="1134" w:hanging="425"/>
        <w:contextualSpacing/>
        <w:jc w:val="both"/>
        <w:rPr>
          <w:rFonts w:ascii="Arial" w:hAnsi="Arial" w:cs="Arial"/>
          <w:sz w:val="24"/>
          <w:szCs w:val="24"/>
        </w:rPr>
      </w:pPr>
      <w:r w:rsidRPr="004B0B0B">
        <w:rPr>
          <w:rFonts w:ascii="Arial" w:hAnsi="Arial" w:cs="Arial"/>
          <w:sz w:val="24"/>
          <w:szCs w:val="24"/>
        </w:rPr>
        <w:t>Although analysis of the pay gap audit indicates that employees are not disadvantaged based on their Protected Characteristic status, the results of this audit will be measured against other Health Boards within NHS Scotland once published.</w:t>
      </w:r>
    </w:p>
    <w:p w:rsidR="00C42289" w:rsidRPr="00C42289" w:rsidRDefault="00C42289" w:rsidP="00C42289">
      <w:pPr>
        <w:jc w:val="both"/>
        <w:rPr>
          <w:rFonts w:cs="Arial"/>
          <w:szCs w:val="24"/>
          <w:highlight w:val="yellow"/>
        </w:rPr>
      </w:pPr>
    </w:p>
    <w:p w:rsidR="00C42289" w:rsidRPr="00013D85" w:rsidRDefault="00C42289" w:rsidP="00C42289">
      <w:pPr>
        <w:ind w:left="720"/>
        <w:jc w:val="both"/>
        <w:rPr>
          <w:rFonts w:cs="Arial"/>
          <w:szCs w:val="24"/>
        </w:rPr>
      </w:pPr>
      <w:r w:rsidRPr="00A37CDD">
        <w:rPr>
          <w:rFonts w:cs="Arial"/>
          <w:szCs w:val="24"/>
        </w:rPr>
        <w:t xml:space="preserve">NHS Fife’s Equal Pay Statement is included as Appendix 2. </w:t>
      </w:r>
      <w:r w:rsidR="00A37CDD" w:rsidRPr="00A37CDD">
        <w:rPr>
          <w:rFonts w:cs="Arial"/>
          <w:szCs w:val="24"/>
        </w:rPr>
        <w:t xml:space="preserve"> </w:t>
      </w:r>
      <w:r w:rsidRPr="00A37CDD">
        <w:rPr>
          <w:rFonts w:cs="Arial"/>
          <w:szCs w:val="24"/>
        </w:rPr>
        <w:t>This Statement was agreed collectively by NHS Scotland</w:t>
      </w:r>
      <w:r w:rsidR="004B0B0B">
        <w:rPr>
          <w:rFonts w:cs="Arial"/>
          <w:szCs w:val="24"/>
        </w:rPr>
        <w:t xml:space="preserve">, reflecting current case law and best practice.  </w:t>
      </w:r>
    </w:p>
    <w:p w:rsidR="00C42289" w:rsidRDefault="00C42289" w:rsidP="005F766A">
      <w:pPr>
        <w:pStyle w:val="Heading3"/>
        <w:spacing w:before="0"/>
        <w:ind w:left="720"/>
        <w:rPr>
          <w:b w:val="0"/>
          <w:bCs/>
          <w:lang w:eastAsia="en-GB"/>
        </w:rPr>
      </w:pPr>
    </w:p>
    <w:p w:rsidR="00AE744E" w:rsidRDefault="00AE744E" w:rsidP="005F766A">
      <w:pPr>
        <w:pStyle w:val="Heading3"/>
        <w:spacing w:before="0"/>
        <w:ind w:left="720"/>
        <w:rPr>
          <w:b w:val="0"/>
          <w:bCs/>
          <w:lang w:eastAsia="en-GB"/>
        </w:rPr>
      </w:pPr>
      <w:r w:rsidRPr="00AE744E">
        <w:rPr>
          <w:b w:val="0"/>
          <w:bCs/>
          <w:lang w:eastAsia="en-GB"/>
        </w:rPr>
        <w:t xml:space="preserve">This report </w:t>
      </w:r>
      <w:r w:rsidR="00841378">
        <w:rPr>
          <w:b w:val="0"/>
          <w:bCs/>
          <w:lang w:eastAsia="en-GB"/>
        </w:rPr>
        <w:t xml:space="preserve">provides the following </w:t>
      </w:r>
      <w:r w:rsidR="00674D38">
        <w:rPr>
          <w:b w:val="0"/>
          <w:bCs/>
          <w:lang w:eastAsia="en-GB"/>
        </w:rPr>
        <w:t>L</w:t>
      </w:r>
      <w:r w:rsidR="00841378">
        <w:rPr>
          <w:b w:val="0"/>
          <w:bCs/>
          <w:lang w:eastAsia="en-GB"/>
        </w:rPr>
        <w:t xml:space="preserve">evel of </w:t>
      </w:r>
      <w:r w:rsidR="00674D38">
        <w:rPr>
          <w:b w:val="0"/>
          <w:bCs/>
          <w:lang w:eastAsia="en-GB"/>
        </w:rPr>
        <w:t>A</w:t>
      </w:r>
      <w:r w:rsidR="00841378">
        <w:rPr>
          <w:b w:val="0"/>
          <w:bCs/>
          <w:lang w:eastAsia="en-GB"/>
        </w:rPr>
        <w:t>ssurance</w:t>
      </w:r>
      <w:r w:rsidR="00C42289">
        <w:rPr>
          <w:b w:val="0"/>
          <w:bCs/>
          <w:lang w:eastAsia="en-GB"/>
        </w:rPr>
        <w:t>:</w:t>
      </w:r>
    </w:p>
    <w:p w:rsidR="005F766A" w:rsidRPr="005F766A" w:rsidRDefault="005F766A" w:rsidP="005F766A">
      <w:pPr>
        <w:rPr>
          <w:lang w:eastAsia="en-GB"/>
        </w:rPr>
      </w:pPr>
    </w:p>
    <w:tbl>
      <w:tblPr>
        <w:tblStyle w:val="TableGrid"/>
        <w:tblW w:w="0" w:type="auto"/>
        <w:tblInd w:w="704" w:type="dxa"/>
        <w:tblLook w:val="04A0"/>
      </w:tblPr>
      <w:tblGrid>
        <w:gridCol w:w="1247"/>
        <w:gridCol w:w="1985"/>
        <w:gridCol w:w="1984"/>
        <w:gridCol w:w="2126"/>
        <w:gridCol w:w="1985"/>
      </w:tblGrid>
      <w:tr w:rsidR="0097304A" w:rsidTr="005F766A">
        <w:tc>
          <w:tcPr>
            <w:tcW w:w="1247" w:type="dxa"/>
          </w:tcPr>
          <w:p w:rsidR="0097304A" w:rsidRDefault="0097304A" w:rsidP="005F766A">
            <w:pPr>
              <w:rPr>
                <w:rFonts w:cs="Arial"/>
                <w:color w:val="000000"/>
                <w:szCs w:val="24"/>
              </w:rPr>
            </w:pPr>
          </w:p>
        </w:tc>
        <w:tc>
          <w:tcPr>
            <w:tcW w:w="1985" w:type="dxa"/>
            <w:shd w:val="clear" w:color="auto" w:fill="E2EFD9" w:themeFill="accent6" w:themeFillTint="33"/>
          </w:tcPr>
          <w:p w:rsidR="0097304A" w:rsidRDefault="0097304A" w:rsidP="005F766A">
            <w:pPr>
              <w:jc w:val="center"/>
              <w:rPr>
                <w:rFonts w:cs="Arial"/>
                <w:color w:val="000000"/>
                <w:szCs w:val="24"/>
              </w:rPr>
            </w:pPr>
            <w:r>
              <w:rPr>
                <w:rFonts w:cs="Arial"/>
                <w:color w:val="000000"/>
                <w:szCs w:val="24"/>
              </w:rPr>
              <w:t>Significant</w:t>
            </w:r>
          </w:p>
        </w:tc>
        <w:tc>
          <w:tcPr>
            <w:tcW w:w="1984" w:type="dxa"/>
            <w:shd w:val="clear" w:color="auto" w:fill="FDFCCB"/>
          </w:tcPr>
          <w:p w:rsidR="0097304A" w:rsidRDefault="0097304A" w:rsidP="005F766A">
            <w:pPr>
              <w:jc w:val="center"/>
              <w:rPr>
                <w:rFonts w:cs="Arial"/>
                <w:color w:val="000000"/>
                <w:szCs w:val="24"/>
              </w:rPr>
            </w:pPr>
            <w:r>
              <w:rPr>
                <w:rFonts w:cs="Arial"/>
                <w:color w:val="000000"/>
                <w:szCs w:val="24"/>
              </w:rPr>
              <w:t>Moderate</w:t>
            </w:r>
          </w:p>
        </w:tc>
        <w:tc>
          <w:tcPr>
            <w:tcW w:w="2126" w:type="dxa"/>
            <w:shd w:val="clear" w:color="auto" w:fill="F7CAAC" w:themeFill="accent2" w:themeFillTint="66"/>
          </w:tcPr>
          <w:p w:rsidR="0097304A" w:rsidRDefault="0097304A" w:rsidP="005F766A">
            <w:pPr>
              <w:jc w:val="center"/>
              <w:rPr>
                <w:rFonts w:cs="Arial"/>
                <w:color w:val="000000"/>
                <w:szCs w:val="24"/>
              </w:rPr>
            </w:pPr>
            <w:r>
              <w:rPr>
                <w:rFonts w:cs="Arial"/>
                <w:color w:val="000000"/>
                <w:szCs w:val="24"/>
              </w:rPr>
              <w:t>Limited</w:t>
            </w:r>
          </w:p>
        </w:tc>
        <w:tc>
          <w:tcPr>
            <w:tcW w:w="1985" w:type="dxa"/>
            <w:shd w:val="clear" w:color="auto" w:fill="FDB1A7"/>
          </w:tcPr>
          <w:p w:rsidR="0097304A" w:rsidRDefault="0097304A" w:rsidP="005F766A">
            <w:pPr>
              <w:jc w:val="center"/>
              <w:rPr>
                <w:rFonts w:cs="Arial"/>
                <w:color w:val="000000"/>
                <w:szCs w:val="24"/>
              </w:rPr>
            </w:pPr>
            <w:r>
              <w:rPr>
                <w:rFonts w:cs="Arial"/>
                <w:color w:val="000000"/>
                <w:szCs w:val="24"/>
              </w:rPr>
              <w:t>None</w:t>
            </w:r>
          </w:p>
        </w:tc>
      </w:tr>
      <w:tr w:rsidR="00E41A46" w:rsidTr="005F766A">
        <w:tc>
          <w:tcPr>
            <w:tcW w:w="1247" w:type="dxa"/>
          </w:tcPr>
          <w:p w:rsidR="0097304A" w:rsidRPr="005F766A" w:rsidRDefault="00E41A46" w:rsidP="005F766A">
            <w:pPr>
              <w:jc w:val="center"/>
              <w:rPr>
                <w:rFonts w:cs="Arial"/>
                <w:b/>
                <w:bCs/>
                <w:color w:val="000000"/>
                <w:sz w:val="18"/>
                <w:szCs w:val="18"/>
              </w:rPr>
            </w:pPr>
            <w:r w:rsidRPr="004B0B0B">
              <w:rPr>
                <w:rFonts w:cs="Arial"/>
                <w:b/>
                <w:bCs/>
                <w:color w:val="000000"/>
                <w:sz w:val="18"/>
                <w:szCs w:val="18"/>
              </w:rPr>
              <w:t>Level</w:t>
            </w:r>
          </w:p>
        </w:tc>
        <w:tc>
          <w:tcPr>
            <w:tcW w:w="1985" w:type="dxa"/>
          </w:tcPr>
          <w:p w:rsidR="0097304A" w:rsidRPr="00E41A46" w:rsidRDefault="0097304A" w:rsidP="005F766A">
            <w:pPr>
              <w:jc w:val="center"/>
              <w:rPr>
                <w:rFonts w:cs="Arial"/>
                <w:color w:val="000000"/>
                <w:sz w:val="18"/>
                <w:szCs w:val="18"/>
              </w:rPr>
            </w:pPr>
          </w:p>
        </w:tc>
        <w:tc>
          <w:tcPr>
            <w:tcW w:w="1984" w:type="dxa"/>
          </w:tcPr>
          <w:p w:rsidR="0097304A" w:rsidRPr="00E41A46" w:rsidRDefault="004B0B0B" w:rsidP="005F766A">
            <w:pPr>
              <w:jc w:val="center"/>
              <w:rPr>
                <w:rFonts w:cs="Arial"/>
                <w:color w:val="000000"/>
                <w:sz w:val="18"/>
                <w:szCs w:val="18"/>
              </w:rPr>
            </w:pPr>
            <w:r w:rsidRPr="004B0B0B">
              <w:rPr>
                <w:rFonts w:cs="Arial"/>
                <w:color w:val="000000"/>
                <w:szCs w:val="24"/>
              </w:rPr>
              <w:t>Moderate</w:t>
            </w:r>
          </w:p>
        </w:tc>
        <w:tc>
          <w:tcPr>
            <w:tcW w:w="2126" w:type="dxa"/>
          </w:tcPr>
          <w:p w:rsidR="0097304A" w:rsidRPr="00E41A46" w:rsidRDefault="0097304A" w:rsidP="005F766A">
            <w:pPr>
              <w:jc w:val="center"/>
              <w:rPr>
                <w:rFonts w:cs="Arial"/>
                <w:color w:val="000000"/>
                <w:sz w:val="18"/>
                <w:szCs w:val="18"/>
              </w:rPr>
            </w:pPr>
          </w:p>
        </w:tc>
        <w:tc>
          <w:tcPr>
            <w:tcW w:w="1985" w:type="dxa"/>
          </w:tcPr>
          <w:p w:rsidR="0097304A" w:rsidRPr="00E41A46" w:rsidRDefault="0097304A" w:rsidP="005F766A">
            <w:pPr>
              <w:jc w:val="center"/>
              <w:rPr>
                <w:rFonts w:cs="Arial"/>
                <w:color w:val="000000"/>
                <w:sz w:val="18"/>
                <w:szCs w:val="18"/>
              </w:rPr>
            </w:pPr>
          </w:p>
        </w:tc>
      </w:tr>
      <w:tr w:rsidR="00E41A46" w:rsidTr="005F766A">
        <w:tc>
          <w:tcPr>
            <w:tcW w:w="1247" w:type="dxa"/>
          </w:tcPr>
          <w:p w:rsidR="00E41A46" w:rsidRPr="005F766A" w:rsidRDefault="00E41A46" w:rsidP="005F766A">
            <w:pPr>
              <w:jc w:val="center"/>
              <w:rPr>
                <w:rFonts w:cs="Arial"/>
                <w:b/>
                <w:bCs/>
                <w:color w:val="000000"/>
                <w:sz w:val="18"/>
                <w:szCs w:val="18"/>
              </w:rPr>
            </w:pPr>
            <w:r w:rsidRPr="005F766A">
              <w:rPr>
                <w:rFonts w:cs="Arial"/>
                <w:b/>
                <w:bCs/>
                <w:color w:val="000000"/>
                <w:sz w:val="18"/>
                <w:szCs w:val="18"/>
              </w:rPr>
              <w:t>Descriptor</w:t>
            </w:r>
          </w:p>
        </w:tc>
        <w:tc>
          <w:tcPr>
            <w:tcW w:w="1985" w:type="dxa"/>
          </w:tcPr>
          <w:p w:rsidR="00E41A46" w:rsidRPr="00E41A46" w:rsidRDefault="00E41A46" w:rsidP="005F766A">
            <w:pPr>
              <w:rPr>
                <w:rFonts w:cs="Arial"/>
                <w:color w:val="000000"/>
                <w:sz w:val="18"/>
                <w:szCs w:val="18"/>
              </w:rPr>
            </w:pPr>
            <w:r w:rsidRPr="00E41A46">
              <w:rPr>
                <w:rFonts w:cs="Arial"/>
                <w:color w:val="000000"/>
                <w:sz w:val="18"/>
                <w:szCs w:val="18"/>
              </w:rPr>
              <w:t>Th</w:t>
            </w:r>
            <w:r>
              <w:rPr>
                <w:rFonts w:cs="Arial"/>
                <w:color w:val="000000"/>
                <w:sz w:val="18"/>
                <w:szCs w:val="18"/>
              </w:rPr>
              <w:t>ere is</w:t>
            </w:r>
            <w:r w:rsidRPr="00E41A46">
              <w:rPr>
                <w:rFonts w:cs="Arial"/>
                <w:color w:val="000000"/>
                <w:sz w:val="18"/>
                <w:szCs w:val="18"/>
              </w:rPr>
              <w:t xml:space="preserve"> robust assurance that the system of control achieves</w:t>
            </w:r>
            <w:r w:rsidR="00841378">
              <w:rPr>
                <w:rFonts w:cs="Arial"/>
                <w:color w:val="000000"/>
                <w:sz w:val="18"/>
                <w:szCs w:val="18"/>
              </w:rPr>
              <w:t>,</w:t>
            </w:r>
            <w:r w:rsidRPr="00E41A46">
              <w:rPr>
                <w:rFonts w:cs="Arial"/>
                <w:color w:val="000000"/>
                <w:sz w:val="18"/>
                <w:szCs w:val="18"/>
              </w:rPr>
              <w:t xml:space="preserve"> or will achieve</w:t>
            </w:r>
            <w:r w:rsidR="00841378">
              <w:rPr>
                <w:rFonts w:cs="Arial"/>
                <w:color w:val="000000"/>
                <w:sz w:val="18"/>
                <w:szCs w:val="18"/>
              </w:rPr>
              <w:t>,</w:t>
            </w:r>
            <w:r w:rsidRPr="00E41A46">
              <w:rPr>
                <w:rFonts w:cs="Arial"/>
                <w:color w:val="000000"/>
                <w:sz w:val="18"/>
                <w:szCs w:val="18"/>
              </w:rPr>
              <w:t xml:space="preserve"> the purpose that it is designed to deliver. There may be an insignificant amount of residual risk or none at all.</w:t>
            </w:r>
          </w:p>
        </w:tc>
        <w:tc>
          <w:tcPr>
            <w:tcW w:w="1984" w:type="dxa"/>
          </w:tcPr>
          <w:p w:rsidR="00E41A46" w:rsidRPr="00E41A46" w:rsidRDefault="00E41A46" w:rsidP="005F766A">
            <w:pPr>
              <w:rPr>
                <w:rFonts w:cs="Arial"/>
                <w:color w:val="000000"/>
                <w:sz w:val="18"/>
                <w:szCs w:val="18"/>
              </w:rPr>
            </w:pPr>
            <w:r w:rsidRPr="00E41A46">
              <w:rPr>
                <w:rFonts w:cs="Arial"/>
                <w:color w:val="000000"/>
                <w:sz w:val="18"/>
                <w:szCs w:val="18"/>
              </w:rPr>
              <w:t>Th</w:t>
            </w:r>
            <w:r>
              <w:rPr>
                <w:rFonts w:cs="Arial"/>
                <w:color w:val="000000"/>
                <w:sz w:val="18"/>
                <w:szCs w:val="18"/>
              </w:rPr>
              <w:t>ere is</w:t>
            </w:r>
            <w:r w:rsidRPr="00E41A46">
              <w:rPr>
                <w:rFonts w:cs="Arial"/>
                <w:color w:val="000000"/>
                <w:sz w:val="18"/>
                <w:szCs w:val="18"/>
              </w:rPr>
              <w:t xml:space="preserve"> sufficient assurance that controls upon which the organisation relies to manage the risk(s) are suitably designed and effectively applied. There remains a moderate amount of residual risk.</w:t>
            </w:r>
          </w:p>
        </w:tc>
        <w:tc>
          <w:tcPr>
            <w:tcW w:w="2126" w:type="dxa"/>
          </w:tcPr>
          <w:p w:rsidR="00E41A46" w:rsidRPr="00E41A46" w:rsidRDefault="00E41A46" w:rsidP="005F766A">
            <w:pPr>
              <w:rPr>
                <w:rFonts w:cs="Arial"/>
                <w:color w:val="000000"/>
                <w:sz w:val="18"/>
                <w:szCs w:val="18"/>
              </w:rPr>
            </w:pPr>
            <w:r>
              <w:rPr>
                <w:rFonts w:cs="Arial"/>
                <w:bCs/>
                <w:kern w:val="24"/>
                <w:sz w:val="18"/>
                <w:szCs w:val="18"/>
                <w:lang w:eastAsia="en-GB"/>
              </w:rPr>
              <w:t>There is</w:t>
            </w:r>
            <w:r w:rsidRPr="00E41A46">
              <w:rPr>
                <w:rFonts w:cs="Arial"/>
                <w:bCs/>
                <w:kern w:val="24"/>
                <w:sz w:val="18"/>
                <w:szCs w:val="18"/>
                <w:lang w:eastAsia="en-GB"/>
              </w:rPr>
              <w:t xml:space="preserve"> some assurance from the systems of control in place to manage the risk(s), but there remains a significant amount of residual risk</w:t>
            </w:r>
            <w:r w:rsidR="00841378">
              <w:rPr>
                <w:rFonts w:cs="Arial"/>
                <w:bCs/>
                <w:kern w:val="24"/>
                <w:sz w:val="18"/>
                <w:szCs w:val="18"/>
                <w:lang w:eastAsia="en-GB"/>
              </w:rPr>
              <w:t>,</w:t>
            </w:r>
            <w:r w:rsidRPr="00E41A46">
              <w:rPr>
                <w:rFonts w:cs="Arial"/>
                <w:bCs/>
                <w:kern w:val="24"/>
                <w:sz w:val="18"/>
                <w:szCs w:val="18"/>
                <w:lang w:eastAsia="en-GB"/>
              </w:rPr>
              <w:t xml:space="preserve"> which requires </w:t>
            </w:r>
            <w:r w:rsidR="00841378">
              <w:rPr>
                <w:rFonts w:cs="Arial"/>
                <w:bCs/>
                <w:kern w:val="24"/>
                <w:sz w:val="18"/>
                <w:szCs w:val="18"/>
                <w:lang w:eastAsia="en-GB"/>
              </w:rPr>
              <w:t xml:space="preserve">further </w:t>
            </w:r>
            <w:r w:rsidRPr="00E41A46">
              <w:rPr>
                <w:rFonts w:cs="Arial"/>
                <w:bCs/>
                <w:kern w:val="24"/>
                <w:sz w:val="18"/>
                <w:szCs w:val="18"/>
                <w:lang w:eastAsia="en-GB"/>
              </w:rPr>
              <w:t>action to be taken.</w:t>
            </w:r>
          </w:p>
        </w:tc>
        <w:tc>
          <w:tcPr>
            <w:tcW w:w="1985" w:type="dxa"/>
          </w:tcPr>
          <w:p w:rsidR="00E41A46" w:rsidRPr="00E41A46" w:rsidRDefault="00E41A46" w:rsidP="005F766A">
            <w:pPr>
              <w:rPr>
                <w:rFonts w:cs="Arial"/>
                <w:color w:val="000000"/>
                <w:sz w:val="18"/>
                <w:szCs w:val="18"/>
              </w:rPr>
            </w:pPr>
            <w:r>
              <w:rPr>
                <w:rFonts w:cs="Arial"/>
                <w:color w:val="000000"/>
                <w:sz w:val="18"/>
                <w:szCs w:val="18"/>
              </w:rPr>
              <w:t>No</w:t>
            </w:r>
            <w:r w:rsidRPr="00E41A46">
              <w:rPr>
                <w:rFonts w:cs="Arial"/>
                <w:color w:val="000000"/>
                <w:sz w:val="18"/>
                <w:szCs w:val="18"/>
              </w:rPr>
              <w:t xml:space="preserve"> assurance </w:t>
            </w:r>
            <w:r>
              <w:rPr>
                <w:rFonts w:cs="Arial"/>
                <w:color w:val="000000"/>
                <w:sz w:val="18"/>
                <w:szCs w:val="18"/>
              </w:rPr>
              <w:t xml:space="preserve">can be taken </w:t>
            </w:r>
            <w:r w:rsidRPr="00E41A46">
              <w:rPr>
                <w:rFonts w:cs="Arial"/>
                <w:color w:val="000000"/>
                <w:sz w:val="18"/>
                <w:szCs w:val="18"/>
              </w:rPr>
              <w:t>from the information that has been provided.</w:t>
            </w:r>
            <w:r>
              <w:rPr>
                <w:rFonts w:cs="Arial"/>
                <w:color w:val="000000"/>
                <w:sz w:val="18"/>
                <w:szCs w:val="18"/>
              </w:rPr>
              <w:t xml:space="preserve"> </w:t>
            </w:r>
            <w:r w:rsidRPr="00E41A46">
              <w:rPr>
                <w:rFonts w:cs="Arial"/>
                <w:color w:val="000000"/>
                <w:sz w:val="18"/>
                <w:szCs w:val="18"/>
              </w:rPr>
              <w:t>There remains a significant amount of residual risk</w:t>
            </w:r>
          </w:p>
        </w:tc>
      </w:tr>
    </w:tbl>
    <w:p w:rsidR="00C42289" w:rsidRPr="00BF3AF0" w:rsidRDefault="00C42289" w:rsidP="005F766A">
      <w:pPr>
        <w:rPr>
          <w:rFonts w:cs="Arial"/>
          <w:color w:val="000000"/>
          <w:szCs w:val="24"/>
        </w:rPr>
      </w:pPr>
    </w:p>
    <w:p w:rsidR="00F3337D" w:rsidRDefault="00C87B62" w:rsidP="005F766A">
      <w:pPr>
        <w:pStyle w:val="Heading3"/>
        <w:spacing w:before="0"/>
      </w:pPr>
      <w:r>
        <w:t>2</w:t>
      </w:r>
      <w:r w:rsidR="00BF3AF0">
        <w:t>.3.1</w:t>
      </w:r>
      <w:r w:rsidR="00BF3AF0">
        <w:tab/>
      </w:r>
      <w:r w:rsidR="00F3337D">
        <w:t>Quality</w:t>
      </w:r>
      <w:r w:rsidR="00D73BC4">
        <w:t>, Patient and</w:t>
      </w:r>
      <w:r w:rsidR="00F3337D">
        <w:t xml:space="preserve"> </w:t>
      </w:r>
      <w:r w:rsidR="00AA03E4">
        <w:t>Value-Based Health</w:t>
      </w:r>
      <w:r w:rsidR="00F3337D">
        <w:t xml:space="preserve"> </w:t>
      </w:r>
      <w:r w:rsidR="00D73BC4">
        <w:t xml:space="preserve">&amp; </w:t>
      </w:r>
      <w:r w:rsidR="00F3337D">
        <w:t>Care</w:t>
      </w:r>
    </w:p>
    <w:p w:rsidR="005F766A" w:rsidRPr="005F766A" w:rsidRDefault="005F766A" w:rsidP="005F766A"/>
    <w:p w:rsidR="00252225" w:rsidRDefault="00C056C3" w:rsidP="005F766A">
      <w:pPr>
        <w:ind w:left="720"/>
        <w:jc w:val="both"/>
        <w:rPr>
          <w:rFonts w:cs="Arial"/>
          <w:color w:val="000000"/>
          <w:szCs w:val="24"/>
        </w:rPr>
      </w:pPr>
      <w:r>
        <w:rPr>
          <w:rFonts w:cs="Arial"/>
          <w:color w:val="000000"/>
          <w:szCs w:val="24"/>
        </w:rPr>
        <w:t>N/A</w:t>
      </w:r>
    </w:p>
    <w:p w:rsidR="00F3337D" w:rsidRPr="00F3337D" w:rsidRDefault="00F3337D" w:rsidP="005F766A">
      <w:pPr>
        <w:pStyle w:val="ListParagraph"/>
        <w:ind w:left="1440"/>
        <w:rPr>
          <w:rFonts w:ascii="Arial" w:hAnsi="Arial" w:cs="Arial"/>
          <w:color w:val="000000"/>
          <w:sz w:val="24"/>
          <w:szCs w:val="24"/>
        </w:rPr>
      </w:pPr>
    </w:p>
    <w:p w:rsidR="00AA77F7" w:rsidRDefault="00C87B62" w:rsidP="005F766A">
      <w:pPr>
        <w:pStyle w:val="Heading3"/>
        <w:spacing w:before="0"/>
      </w:pPr>
      <w:r>
        <w:t>2</w:t>
      </w:r>
      <w:r w:rsidR="00BF3AF0">
        <w:t>.3.2</w:t>
      </w:r>
      <w:r w:rsidR="00BF3AF0">
        <w:tab/>
      </w:r>
      <w:r w:rsidR="00AA77F7">
        <w:t>Workforce</w:t>
      </w:r>
    </w:p>
    <w:p w:rsidR="005F766A" w:rsidRPr="005F766A" w:rsidRDefault="005F766A" w:rsidP="005F766A"/>
    <w:p w:rsidR="00815424" w:rsidRDefault="00C056C3" w:rsidP="00A37CDD">
      <w:pPr>
        <w:ind w:left="709"/>
        <w:jc w:val="both"/>
        <w:rPr>
          <w:rFonts w:cs="Arial"/>
          <w:szCs w:val="24"/>
        </w:rPr>
      </w:pPr>
      <w:r w:rsidRPr="00013D85">
        <w:rPr>
          <w:rFonts w:cs="Arial"/>
          <w:szCs w:val="24"/>
        </w:rPr>
        <w:t xml:space="preserve">Analysis of the Equal Pay Audit ensures that the practices and processes within NHS Fife in respect to Pay and Remuneration collectively treat employees fairly </w:t>
      </w:r>
      <w:r w:rsidR="00A37CDD">
        <w:rPr>
          <w:rFonts w:cs="Arial"/>
          <w:szCs w:val="24"/>
        </w:rPr>
        <w:t>and</w:t>
      </w:r>
      <w:r w:rsidRPr="00013D85">
        <w:rPr>
          <w:rFonts w:cs="Arial"/>
          <w:szCs w:val="24"/>
        </w:rPr>
        <w:t xml:space="preserve"> consistently, in an environme</w:t>
      </w:r>
      <w:r w:rsidR="00815424">
        <w:rPr>
          <w:rFonts w:cs="Arial"/>
          <w:szCs w:val="24"/>
        </w:rPr>
        <w:t>nt where diversity is valued.  While i</w:t>
      </w:r>
      <w:r w:rsidRPr="00013D85">
        <w:rPr>
          <w:rFonts w:cs="Arial"/>
          <w:szCs w:val="24"/>
        </w:rPr>
        <w:t>t provides reassurance that the practices of NHS Fife do not negatively impact employees who share the Protected Characteristics of Disability</w:t>
      </w:r>
      <w:r w:rsidR="00A37CDD">
        <w:rPr>
          <w:rFonts w:cs="Arial"/>
          <w:szCs w:val="24"/>
        </w:rPr>
        <w:t xml:space="preserve">, </w:t>
      </w:r>
      <w:r w:rsidRPr="00013D85">
        <w:rPr>
          <w:rFonts w:cs="Arial"/>
          <w:szCs w:val="24"/>
        </w:rPr>
        <w:t>Sex and Race</w:t>
      </w:r>
      <w:r w:rsidR="00815424">
        <w:rPr>
          <w:rFonts w:cs="Arial"/>
          <w:szCs w:val="24"/>
        </w:rPr>
        <w:t xml:space="preserve"> there is a commitment to continuously review recruitment and </w:t>
      </w:r>
      <w:r w:rsidR="00815424">
        <w:rPr>
          <w:rFonts w:cs="Arial"/>
          <w:szCs w:val="24"/>
        </w:rPr>
        <w:lastRenderedPageBreak/>
        <w:t>on-boarding processes as part of a wider project focused on capturing and utilising information collated during the recruitment process more efficiently.</w:t>
      </w:r>
    </w:p>
    <w:p w:rsidR="005F766A" w:rsidRPr="00AA77F7" w:rsidRDefault="005F766A" w:rsidP="005F766A">
      <w:pPr>
        <w:rPr>
          <w:rFonts w:cs="Arial"/>
          <w:color w:val="000000"/>
          <w:szCs w:val="24"/>
        </w:rPr>
      </w:pPr>
    </w:p>
    <w:p w:rsidR="00F3337D" w:rsidRDefault="00C87B62" w:rsidP="005F766A">
      <w:pPr>
        <w:pStyle w:val="Heading3"/>
        <w:spacing w:before="0"/>
      </w:pPr>
      <w:r>
        <w:t>2</w:t>
      </w:r>
      <w:r w:rsidR="00BF3AF0">
        <w:t>.3.3</w:t>
      </w:r>
      <w:r w:rsidR="00BF3AF0">
        <w:tab/>
      </w:r>
      <w:r w:rsidR="00F3337D">
        <w:t>Financial</w:t>
      </w:r>
    </w:p>
    <w:p w:rsidR="005F766A" w:rsidRPr="005F766A" w:rsidRDefault="005F766A" w:rsidP="005F766A"/>
    <w:p w:rsidR="00F3337D" w:rsidRPr="00611AA4" w:rsidRDefault="00C056C3" w:rsidP="005F766A">
      <w:pPr>
        <w:ind w:left="720"/>
        <w:jc w:val="both"/>
        <w:rPr>
          <w:rFonts w:cs="Arial"/>
          <w:color w:val="000000"/>
          <w:szCs w:val="24"/>
        </w:rPr>
      </w:pPr>
      <w:r>
        <w:rPr>
          <w:rFonts w:cs="Arial"/>
          <w:color w:val="000000"/>
          <w:szCs w:val="24"/>
        </w:rPr>
        <w:t>N/A</w:t>
      </w:r>
    </w:p>
    <w:p w:rsidR="00F3337D" w:rsidRDefault="00F3337D" w:rsidP="005F766A">
      <w:pPr>
        <w:pStyle w:val="ListParagraph"/>
        <w:ind w:left="394"/>
        <w:rPr>
          <w:rFonts w:ascii="Arial" w:hAnsi="Arial" w:cs="Arial"/>
          <w:color w:val="000000"/>
          <w:sz w:val="24"/>
          <w:szCs w:val="24"/>
        </w:rPr>
      </w:pPr>
    </w:p>
    <w:p w:rsidR="00F3337D" w:rsidRDefault="00C87B62" w:rsidP="005F766A">
      <w:pPr>
        <w:pStyle w:val="Heading3"/>
        <w:spacing w:before="0"/>
      </w:pPr>
      <w:r>
        <w:t>2</w:t>
      </w:r>
      <w:r w:rsidR="00BF3AF0">
        <w:t>.3.4</w:t>
      </w:r>
      <w:r w:rsidR="00BF3AF0">
        <w:tab/>
      </w:r>
      <w:r w:rsidR="00F3337D">
        <w:t>Risk Assessment</w:t>
      </w:r>
      <w:r w:rsidR="0006462D">
        <w:t xml:space="preserve"> </w:t>
      </w:r>
      <w:r w:rsidR="00BF3AF0">
        <w:t>/</w:t>
      </w:r>
      <w:r w:rsidR="0006462D">
        <w:t xml:space="preserve"> </w:t>
      </w:r>
      <w:r w:rsidR="00F3337D">
        <w:t>Management</w:t>
      </w:r>
    </w:p>
    <w:p w:rsidR="005F766A" w:rsidRPr="005F766A" w:rsidRDefault="005F766A" w:rsidP="005F766A"/>
    <w:p w:rsidR="002C3ADC" w:rsidRPr="00A37CDD" w:rsidRDefault="00C056C3" w:rsidP="005F766A">
      <w:pPr>
        <w:ind w:left="709"/>
        <w:jc w:val="both"/>
        <w:rPr>
          <w:rFonts w:cs="Arial"/>
          <w:color w:val="000000"/>
          <w:szCs w:val="24"/>
        </w:rPr>
      </w:pPr>
      <w:r w:rsidRPr="00A37CDD">
        <w:rPr>
          <w:rFonts w:cs="Arial"/>
          <w:color w:val="000000"/>
          <w:szCs w:val="24"/>
        </w:rPr>
        <w:t>N/A</w:t>
      </w:r>
    </w:p>
    <w:p w:rsidR="00F3337D" w:rsidRPr="00BF3AF0" w:rsidRDefault="00F3337D" w:rsidP="005F766A">
      <w:pPr>
        <w:rPr>
          <w:rFonts w:cs="Arial"/>
          <w:color w:val="000000"/>
          <w:szCs w:val="24"/>
        </w:rPr>
      </w:pPr>
    </w:p>
    <w:p w:rsidR="00F3337D" w:rsidRDefault="00C87B62" w:rsidP="005F766A">
      <w:pPr>
        <w:pStyle w:val="Heading3"/>
        <w:spacing w:before="0"/>
        <w:jc w:val="both"/>
      </w:pPr>
      <w:r>
        <w:t>2</w:t>
      </w:r>
      <w:r w:rsidR="00BF3AF0">
        <w:t>.3.5</w:t>
      </w:r>
      <w:r w:rsidR="00BF3AF0">
        <w:tab/>
      </w:r>
      <w:r w:rsidR="00F3337D">
        <w:t>Equality and Diversity, including health inequalities</w:t>
      </w:r>
      <w:r w:rsidR="00EF384D">
        <w:t xml:space="preserve"> and Anchor Institution </w:t>
      </w:r>
      <w:r w:rsidR="0006462D">
        <w:tab/>
      </w:r>
      <w:r w:rsidR="00EF384D">
        <w:t>ambitions</w:t>
      </w:r>
    </w:p>
    <w:p w:rsidR="005F766A" w:rsidRPr="005F766A" w:rsidRDefault="005F766A" w:rsidP="005F766A">
      <w:pPr>
        <w:jc w:val="both"/>
      </w:pPr>
    </w:p>
    <w:p w:rsidR="00C056C3" w:rsidRPr="00013D85" w:rsidRDefault="00C056C3" w:rsidP="00C056C3">
      <w:pPr>
        <w:ind w:left="720"/>
        <w:jc w:val="both"/>
        <w:rPr>
          <w:rFonts w:cs="Arial"/>
          <w:color w:val="000000"/>
          <w:szCs w:val="24"/>
        </w:rPr>
      </w:pPr>
      <w:r w:rsidRPr="00013D85">
        <w:rPr>
          <w:rFonts w:cs="Arial"/>
          <w:szCs w:val="24"/>
        </w:rPr>
        <w:t xml:space="preserve">Publication of the Equal Pay Audit, information on Occupational Segregation and the renewal of the Equal Pay Statement helps NHS Fife fulfil relevant requirements under the Equality Act (Specific Duties) (Scotland) Regulations 2012.  </w:t>
      </w:r>
    </w:p>
    <w:p w:rsidR="00C056C3" w:rsidRPr="00013D85" w:rsidRDefault="00C056C3" w:rsidP="00C056C3">
      <w:pPr>
        <w:ind w:left="720"/>
        <w:jc w:val="both"/>
        <w:rPr>
          <w:rFonts w:cs="Arial"/>
          <w:color w:val="000000"/>
          <w:szCs w:val="24"/>
          <w:highlight w:val="lightGray"/>
        </w:rPr>
      </w:pPr>
    </w:p>
    <w:p w:rsidR="00C056C3" w:rsidRPr="00013D85" w:rsidRDefault="00C056C3" w:rsidP="00C056C3">
      <w:pPr>
        <w:ind w:left="720"/>
        <w:jc w:val="both"/>
        <w:rPr>
          <w:rFonts w:cs="Arial"/>
          <w:szCs w:val="24"/>
        </w:rPr>
      </w:pPr>
      <w:r w:rsidRPr="00013D85">
        <w:rPr>
          <w:rFonts w:cs="Arial"/>
          <w:szCs w:val="24"/>
        </w:rPr>
        <w:t xml:space="preserve">An impact assessment has not been completed for this SBAR as its content, and that of its supporting appendices, summarises the </w:t>
      </w:r>
      <w:r w:rsidRPr="004B0B0B">
        <w:rPr>
          <w:rFonts w:cs="Arial"/>
          <w:szCs w:val="24"/>
        </w:rPr>
        <w:t>impact of applying NHS Fife’s Recruitment and Selection Policy; Job Evaluation Processes including the Evaluation of New (AfC) Posts Policy; plus nationally agreed Terms and Conditions of Employment.  Separate impact assessments have been completed for each of these.</w:t>
      </w:r>
    </w:p>
    <w:p w:rsidR="00B178D4" w:rsidRPr="00832E5E" w:rsidRDefault="00B178D4" w:rsidP="005F766A">
      <w:pPr>
        <w:jc w:val="both"/>
        <w:rPr>
          <w:rFonts w:cs="Arial"/>
          <w:color w:val="000000"/>
          <w:szCs w:val="24"/>
        </w:rPr>
      </w:pPr>
    </w:p>
    <w:p w:rsidR="0010366F" w:rsidRDefault="00C87B62" w:rsidP="005F766A">
      <w:pPr>
        <w:pStyle w:val="Heading3"/>
        <w:spacing w:before="0"/>
        <w:jc w:val="both"/>
        <w:rPr>
          <w:rFonts w:cs="Arial"/>
          <w:color w:val="000000"/>
        </w:rPr>
      </w:pPr>
      <w:r>
        <w:t>2</w:t>
      </w:r>
      <w:r w:rsidR="00BF3AF0">
        <w:t>.3.6</w:t>
      </w:r>
      <w:r w:rsidR="00BF3AF0">
        <w:tab/>
      </w:r>
      <w:r w:rsidR="0010366F" w:rsidRPr="0010366F">
        <w:rPr>
          <w:rFonts w:cs="Arial"/>
          <w:color w:val="000000"/>
        </w:rPr>
        <w:t xml:space="preserve">Climate Emergency </w:t>
      </w:r>
      <w:r w:rsidR="0010366F">
        <w:rPr>
          <w:rFonts w:cs="Arial"/>
          <w:color w:val="000000"/>
        </w:rPr>
        <w:t>&amp;</w:t>
      </w:r>
      <w:r w:rsidR="0010366F" w:rsidRPr="0010366F">
        <w:rPr>
          <w:rFonts w:cs="Arial"/>
          <w:color w:val="000000"/>
        </w:rPr>
        <w:t xml:space="preserve"> Sustainability Impact</w:t>
      </w:r>
    </w:p>
    <w:p w:rsidR="005F766A" w:rsidRPr="005F766A" w:rsidRDefault="005F766A" w:rsidP="005F766A"/>
    <w:p w:rsidR="0010366F" w:rsidRPr="0010366F" w:rsidRDefault="00C056C3" w:rsidP="005F766A">
      <w:pPr>
        <w:ind w:left="709" w:firstLine="11"/>
        <w:jc w:val="both"/>
        <w:rPr>
          <w:rFonts w:cs="Arial"/>
          <w:color w:val="000000"/>
          <w:szCs w:val="24"/>
        </w:rPr>
      </w:pPr>
      <w:r>
        <w:rPr>
          <w:rFonts w:cs="Arial"/>
          <w:color w:val="000000"/>
          <w:szCs w:val="24"/>
        </w:rPr>
        <w:t>N/A</w:t>
      </w:r>
    </w:p>
    <w:p w:rsidR="00AA77F7" w:rsidRPr="0010366F" w:rsidRDefault="00AA77F7" w:rsidP="005F766A">
      <w:pPr>
        <w:rPr>
          <w:rFonts w:cs="Arial"/>
          <w:color w:val="000000"/>
          <w:szCs w:val="24"/>
        </w:rPr>
      </w:pPr>
    </w:p>
    <w:p w:rsidR="00446219" w:rsidRDefault="00446219" w:rsidP="005F766A">
      <w:pPr>
        <w:pStyle w:val="Heading3"/>
        <w:numPr>
          <w:ilvl w:val="2"/>
          <w:numId w:val="16"/>
        </w:numPr>
        <w:spacing w:before="0"/>
        <w:rPr>
          <w:rFonts w:eastAsia="Times New Roman"/>
        </w:rPr>
      </w:pPr>
      <w:r>
        <w:rPr>
          <w:rFonts w:eastAsia="Times New Roman"/>
        </w:rPr>
        <w:t xml:space="preserve">Communication, </w:t>
      </w:r>
      <w:r w:rsidR="005F766A">
        <w:rPr>
          <w:rFonts w:eastAsia="Times New Roman"/>
        </w:rPr>
        <w:t>I</w:t>
      </w:r>
      <w:r>
        <w:rPr>
          <w:rFonts w:eastAsia="Times New Roman"/>
        </w:rPr>
        <w:t xml:space="preserve">nvolvement, </w:t>
      </w:r>
      <w:r w:rsidR="005F766A">
        <w:rPr>
          <w:rFonts w:eastAsia="Times New Roman"/>
        </w:rPr>
        <w:t>E</w:t>
      </w:r>
      <w:r>
        <w:rPr>
          <w:rFonts w:eastAsia="Times New Roman"/>
        </w:rPr>
        <w:t xml:space="preserve">ngagement and </w:t>
      </w:r>
      <w:r w:rsidR="005F766A">
        <w:rPr>
          <w:rFonts w:eastAsia="Times New Roman"/>
        </w:rPr>
        <w:t>C</w:t>
      </w:r>
      <w:r>
        <w:rPr>
          <w:rFonts w:eastAsia="Times New Roman"/>
        </w:rPr>
        <w:t>onsultation</w:t>
      </w:r>
    </w:p>
    <w:p w:rsidR="005F766A" w:rsidRPr="005F766A" w:rsidRDefault="005F766A" w:rsidP="005F766A"/>
    <w:p w:rsidR="00C056C3" w:rsidRPr="00013D85" w:rsidRDefault="00C056C3" w:rsidP="00C056C3">
      <w:pPr>
        <w:ind w:left="720"/>
        <w:jc w:val="both"/>
        <w:rPr>
          <w:rFonts w:cs="Arial"/>
          <w:szCs w:val="24"/>
        </w:rPr>
      </w:pPr>
      <w:r w:rsidRPr="00013D85">
        <w:rPr>
          <w:rFonts w:cs="Arial"/>
          <w:szCs w:val="24"/>
        </w:rPr>
        <w:t xml:space="preserve">The results of the Equal Pay Audit will be shared with the </w:t>
      </w:r>
      <w:r w:rsidR="00A37CDD" w:rsidRPr="00013D85">
        <w:rPr>
          <w:rFonts w:cs="Arial"/>
          <w:szCs w:val="24"/>
        </w:rPr>
        <w:t xml:space="preserve">Equality &amp; Human Rights Strategy Group on </w:t>
      </w:r>
      <w:r w:rsidR="00A37CDD">
        <w:rPr>
          <w:rFonts w:cs="Arial"/>
          <w:szCs w:val="24"/>
        </w:rPr>
        <w:t xml:space="preserve">7/5/25; Staff Governance Committee on 13/5/25; </w:t>
      </w:r>
      <w:r w:rsidRPr="00013D85">
        <w:rPr>
          <w:rFonts w:cs="Arial"/>
          <w:szCs w:val="24"/>
        </w:rPr>
        <w:t xml:space="preserve">Area Partnership Forum on </w:t>
      </w:r>
      <w:r w:rsidR="00A37CDD">
        <w:rPr>
          <w:rFonts w:cs="Arial"/>
          <w:szCs w:val="24"/>
        </w:rPr>
        <w:t>21/5/25</w:t>
      </w:r>
      <w:r w:rsidRPr="00013D85">
        <w:rPr>
          <w:rFonts w:cs="Arial"/>
          <w:szCs w:val="24"/>
        </w:rPr>
        <w:t xml:space="preserve"> </w:t>
      </w:r>
      <w:r w:rsidRPr="00451835">
        <w:rPr>
          <w:rFonts w:cs="Arial"/>
          <w:szCs w:val="24"/>
        </w:rPr>
        <w:t>and the Diverse Ethnic Staff Network</w:t>
      </w:r>
      <w:r w:rsidR="00451835">
        <w:rPr>
          <w:rFonts w:cs="Arial"/>
          <w:szCs w:val="24"/>
        </w:rPr>
        <w:t xml:space="preserve"> (T.B.C)</w:t>
      </w:r>
      <w:r w:rsidRPr="00013D85">
        <w:rPr>
          <w:rFonts w:cs="Arial"/>
          <w:szCs w:val="24"/>
        </w:rPr>
        <w:t xml:space="preserve">.  </w:t>
      </w:r>
    </w:p>
    <w:p w:rsidR="00B851FC" w:rsidRPr="00603FCA" w:rsidRDefault="00B851FC" w:rsidP="005F766A">
      <w:pPr>
        <w:ind w:left="720"/>
        <w:rPr>
          <w:rFonts w:cs="Arial"/>
          <w:szCs w:val="24"/>
          <w:highlight w:val="lightGray"/>
        </w:rPr>
      </w:pPr>
    </w:p>
    <w:p w:rsidR="00446219" w:rsidRDefault="00446219" w:rsidP="005F766A">
      <w:pPr>
        <w:pStyle w:val="Heading3"/>
        <w:numPr>
          <w:ilvl w:val="2"/>
          <w:numId w:val="16"/>
        </w:numPr>
        <w:spacing w:before="0"/>
      </w:pPr>
      <w:r>
        <w:t>Route to the Meeting</w:t>
      </w:r>
    </w:p>
    <w:p w:rsidR="005F766A" w:rsidRPr="005F766A" w:rsidRDefault="005F766A" w:rsidP="005F766A"/>
    <w:p w:rsidR="00C056C3" w:rsidRPr="00013D85" w:rsidRDefault="00C056C3" w:rsidP="00C056C3">
      <w:pPr>
        <w:ind w:left="720"/>
        <w:jc w:val="both"/>
        <w:rPr>
          <w:rFonts w:cs="Arial"/>
          <w:szCs w:val="24"/>
        </w:rPr>
      </w:pPr>
      <w:r w:rsidRPr="00013D85">
        <w:rPr>
          <w:rFonts w:cs="Arial"/>
          <w:szCs w:val="24"/>
        </w:rPr>
        <w:t xml:space="preserve">This paper has been previously considered by the Director of </w:t>
      </w:r>
      <w:r w:rsidR="00A37CDD">
        <w:rPr>
          <w:rFonts w:cs="Arial"/>
          <w:szCs w:val="24"/>
        </w:rPr>
        <w:t>People &amp; Change</w:t>
      </w:r>
      <w:r w:rsidRPr="00013D85">
        <w:rPr>
          <w:rFonts w:cs="Arial"/>
          <w:szCs w:val="24"/>
        </w:rPr>
        <w:t xml:space="preserve"> and Senior </w:t>
      </w:r>
      <w:r w:rsidR="00A37CDD">
        <w:rPr>
          <w:rFonts w:cs="Arial"/>
          <w:szCs w:val="24"/>
        </w:rPr>
        <w:t xml:space="preserve">Leadership </w:t>
      </w:r>
      <w:r w:rsidRPr="00013D85">
        <w:rPr>
          <w:rFonts w:cs="Arial"/>
          <w:szCs w:val="24"/>
        </w:rPr>
        <w:t>Team as part of its development.  They have either supported the content, or their feedback has informed the development of the content presented in this report.</w:t>
      </w:r>
    </w:p>
    <w:p w:rsidR="005F766A" w:rsidRPr="005F766A" w:rsidRDefault="005F766A" w:rsidP="005F766A"/>
    <w:p w:rsidR="00BF3AF0" w:rsidRDefault="00C87B62" w:rsidP="005F766A">
      <w:pPr>
        <w:pStyle w:val="Heading2"/>
        <w:spacing w:before="0"/>
      </w:pPr>
      <w:r>
        <w:t>2.</w:t>
      </w:r>
      <w:r w:rsidR="00BF3AF0">
        <w:t>4</w:t>
      </w:r>
      <w:r w:rsidR="00BF3AF0">
        <w:tab/>
        <w:t>Recommendation</w:t>
      </w:r>
    </w:p>
    <w:p w:rsidR="005F766A" w:rsidRDefault="005F766A" w:rsidP="005F766A">
      <w:pPr>
        <w:ind w:left="720"/>
        <w:rPr>
          <w:rFonts w:cs="Arial"/>
          <w:color w:val="000000"/>
          <w:szCs w:val="24"/>
          <w:highlight w:val="lightGray"/>
        </w:rPr>
      </w:pPr>
    </w:p>
    <w:p w:rsidR="00B95DE4" w:rsidRDefault="00B95DE4" w:rsidP="005F766A">
      <w:pPr>
        <w:ind w:left="720"/>
        <w:rPr>
          <w:rFonts w:cs="Arial"/>
          <w:color w:val="000000"/>
          <w:szCs w:val="24"/>
        </w:rPr>
      </w:pPr>
      <w:r w:rsidRPr="00B95DE4">
        <w:rPr>
          <w:rFonts w:cs="Arial"/>
          <w:color w:val="000000"/>
          <w:szCs w:val="24"/>
        </w:rPr>
        <w:t>This paper is provided</w:t>
      </w:r>
      <w:r w:rsidR="00A12F61">
        <w:rPr>
          <w:rFonts w:cs="Arial"/>
          <w:color w:val="000000"/>
          <w:szCs w:val="24"/>
        </w:rPr>
        <w:t xml:space="preserve"> to </w:t>
      </w:r>
      <w:r w:rsidR="00C056C3">
        <w:rPr>
          <w:rFonts w:cs="Arial"/>
          <w:color w:val="000000"/>
          <w:szCs w:val="24"/>
        </w:rPr>
        <w:t>Executive Director Group</w:t>
      </w:r>
      <w:r w:rsidR="005F766A">
        <w:rPr>
          <w:rFonts w:cs="Arial"/>
          <w:color w:val="000000"/>
          <w:szCs w:val="24"/>
        </w:rPr>
        <w:t xml:space="preserve"> </w:t>
      </w:r>
      <w:r w:rsidR="00A12F61">
        <w:rPr>
          <w:rFonts w:cs="Arial"/>
          <w:color w:val="000000"/>
          <w:szCs w:val="24"/>
        </w:rPr>
        <w:t>members</w:t>
      </w:r>
      <w:r w:rsidRPr="00B95DE4">
        <w:rPr>
          <w:rFonts w:cs="Arial"/>
          <w:color w:val="000000"/>
          <w:szCs w:val="24"/>
        </w:rPr>
        <w:t xml:space="preserve"> for:</w:t>
      </w:r>
    </w:p>
    <w:p w:rsidR="005F766A" w:rsidRPr="00B95DE4" w:rsidRDefault="005F766A" w:rsidP="005F766A">
      <w:pPr>
        <w:ind w:left="720"/>
        <w:rPr>
          <w:rFonts w:cs="Arial"/>
          <w:color w:val="000000"/>
          <w:szCs w:val="24"/>
        </w:rPr>
      </w:pPr>
    </w:p>
    <w:p w:rsidR="005F766A" w:rsidRPr="00A37CDD" w:rsidRDefault="00BF3AF0" w:rsidP="00071306">
      <w:pPr>
        <w:numPr>
          <w:ilvl w:val="0"/>
          <w:numId w:val="1"/>
        </w:numPr>
        <w:ind w:hanging="252"/>
        <w:rPr>
          <w:rFonts w:cs="Arial"/>
          <w:szCs w:val="24"/>
        </w:rPr>
      </w:pPr>
      <w:r w:rsidRPr="00A37CDD">
        <w:rPr>
          <w:rFonts w:cs="Arial"/>
          <w:b/>
          <w:color w:val="000000"/>
          <w:szCs w:val="24"/>
        </w:rPr>
        <w:t>A</w:t>
      </w:r>
      <w:r w:rsidR="00C915FF" w:rsidRPr="00A37CDD">
        <w:rPr>
          <w:rFonts w:cs="Arial"/>
          <w:b/>
          <w:color w:val="000000"/>
          <w:szCs w:val="24"/>
        </w:rPr>
        <w:t>ssurance</w:t>
      </w:r>
      <w:r w:rsidRPr="00A37CDD">
        <w:rPr>
          <w:rFonts w:cs="Arial"/>
          <w:b/>
          <w:color w:val="000000"/>
          <w:szCs w:val="24"/>
        </w:rPr>
        <w:t xml:space="preserve"> </w:t>
      </w:r>
      <w:r w:rsidRPr="00A37CDD">
        <w:rPr>
          <w:rFonts w:cs="Arial"/>
          <w:color w:val="000000"/>
          <w:szCs w:val="24"/>
        </w:rPr>
        <w:t xml:space="preserve">– </w:t>
      </w:r>
      <w:r w:rsidR="008D3624" w:rsidRPr="00A37CDD">
        <w:rPr>
          <w:rFonts w:cs="Arial"/>
          <w:color w:val="000000"/>
          <w:szCs w:val="24"/>
        </w:rPr>
        <w:t xml:space="preserve">This report provides a </w:t>
      </w:r>
      <w:r w:rsidR="001048A7">
        <w:rPr>
          <w:rFonts w:cs="Arial"/>
          <w:color w:val="000000"/>
          <w:szCs w:val="24"/>
        </w:rPr>
        <w:t xml:space="preserve">Moderate </w:t>
      </w:r>
      <w:r w:rsidR="000C15C5" w:rsidRPr="00A37CDD">
        <w:rPr>
          <w:rFonts w:cs="Arial"/>
          <w:color w:val="000000"/>
          <w:szCs w:val="24"/>
        </w:rPr>
        <w:t>L</w:t>
      </w:r>
      <w:r w:rsidR="008D3624" w:rsidRPr="00A37CDD">
        <w:rPr>
          <w:rFonts w:cs="Arial"/>
          <w:color w:val="000000"/>
          <w:szCs w:val="24"/>
        </w:rPr>
        <w:t xml:space="preserve">evel of </w:t>
      </w:r>
      <w:r w:rsidR="000C15C5" w:rsidRPr="00A37CDD">
        <w:rPr>
          <w:rFonts w:cs="Arial"/>
          <w:color w:val="000000"/>
          <w:szCs w:val="24"/>
        </w:rPr>
        <w:t>A</w:t>
      </w:r>
      <w:r w:rsidR="008D3624" w:rsidRPr="00A37CDD">
        <w:rPr>
          <w:rFonts w:cs="Arial"/>
          <w:color w:val="000000"/>
          <w:szCs w:val="24"/>
        </w:rPr>
        <w:t>ssurance</w:t>
      </w:r>
    </w:p>
    <w:p w:rsidR="00A37CDD" w:rsidRDefault="00A37CDD" w:rsidP="00A37CDD">
      <w:pPr>
        <w:ind w:left="972"/>
        <w:rPr>
          <w:rFonts w:cs="Arial"/>
          <w:b/>
          <w:color w:val="000000"/>
          <w:szCs w:val="24"/>
        </w:rPr>
      </w:pPr>
    </w:p>
    <w:p w:rsidR="00A37CDD" w:rsidRDefault="00A37CDD" w:rsidP="00A37CDD">
      <w:pPr>
        <w:ind w:left="972"/>
        <w:rPr>
          <w:rFonts w:cs="Arial"/>
          <w:szCs w:val="24"/>
        </w:rPr>
      </w:pPr>
    </w:p>
    <w:p w:rsidR="001048A7" w:rsidRPr="00A37CDD" w:rsidRDefault="001048A7" w:rsidP="00A37CDD">
      <w:pPr>
        <w:ind w:left="972"/>
        <w:rPr>
          <w:rFonts w:cs="Arial"/>
          <w:szCs w:val="24"/>
        </w:rPr>
      </w:pPr>
    </w:p>
    <w:p w:rsidR="00C87B62" w:rsidRDefault="00C87B62" w:rsidP="005F766A">
      <w:pPr>
        <w:pStyle w:val="Heading2"/>
        <w:numPr>
          <w:ilvl w:val="0"/>
          <w:numId w:val="18"/>
        </w:numPr>
        <w:spacing w:before="0"/>
        <w:ind w:hanging="720"/>
      </w:pPr>
      <w:r>
        <w:t>List of</w:t>
      </w:r>
      <w:r w:rsidR="005F766A">
        <w:t xml:space="preserve"> A</w:t>
      </w:r>
      <w:r>
        <w:t>ppendices</w:t>
      </w:r>
    </w:p>
    <w:p w:rsidR="005F766A" w:rsidRPr="005F766A" w:rsidRDefault="005F766A" w:rsidP="005F766A"/>
    <w:p w:rsidR="00C056C3" w:rsidRPr="00013D85" w:rsidRDefault="00C056C3" w:rsidP="00C056C3">
      <w:pPr>
        <w:ind w:left="720"/>
        <w:jc w:val="both"/>
        <w:rPr>
          <w:rFonts w:cs="Arial"/>
          <w:szCs w:val="24"/>
        </w:rPr>
      </w:pPr>
      <w:r w:rsidRPr="00013D85">
        <w:rPr>
          <w:rFonts w:cs="Arial"/>
          <w:szCs w:val="24"/>
        </w:rPr>
        <w:t>The following appendices are included with this report:</w:t>
      </w:r>
    </w:p>
    <w:p w:rsidR="00C056C3" w:rsidRPr="00013D85" w:rsidRDefault="00C056C3" w:rsidP="00C056C3">
      <w:pPr>
        <w:ind w:left="720"/>
        <w:jc w:val="both"/>
        <w:rPr>
          <w:rFonts w:cs="Arial"/>
          <w:szCs w:val="24"/>
        </w:rPr>
      </w:pPr>
    </w:p>
    <w:p w:rsidR="00C056C3" w:rsidRPr="00013D85" w:rsidRDefault="00C056C3" w:rsidP="00C056C3">
      <w:pPr>
        <w:pStyle w:val="ListParagraph"/>
        <w:numPr>
          <w:ilvl w:val="0"/>
          <w:numId w:val="21"/>
        </w:numPr>
        <w:ind w:left="1134" w:hanging="425"/>
        <w:contextualSpacing/>
        <w:jc w:val="both"/>
        <w:rPr>
          <w:rFonts w:ascii="Arial" w:hAnsi="Arial" w:cs="Arial"/>
          <w:sz w:val="24"/>
          <w:szCs w:val="24"/>
        </w:rPr>
      </w:pPr>
      <w:r w:rsidRPr="00013D85">
        <w:rPr>
          <w:rFonts w:ascii="Arial" w:hAnsi="Arial" w:cs="Arial"/>
          <w:sz w:val="24"/>
          <w:szCs w:val="24"/>
        </w:rPr>
        <w:lastRenderedPageBreak/>
        <w:t>Appendix 1: 202</w:t>
      </w:r>
      <w:r w:rsidR="00A37CDD">
        <w:rPr>
          <w:rFonts w:ascii="Arial" w:hAnsi="Arial" w:cs="Arial"/>
          <w:sz w:val="24"/>
          <w:szCs w:val="24"/>
        </w:rPr>
        <w:t>5</w:t>
      </w:r>
      <w:r w:rsidRPr="00013D85">
        <w:rPr>
          <w:rFonts w:ascii="Arial" w:hAnsi="Arial" w:cs="Arial"/>
          <w:sz w:val="24"/>
          <w:szCs w:val="24"/>
        </w:rPr>
        <w:t xml:space="preserve"> Equal Pay Gap Analysis</w:t>
      </w:r>
    </w:p>
    <w:p w:rsidR="00C056C3" w:rsidRPr="00013D85" w:rsidRDefault="00C056C3" w:rsidP="00C056C3">
      <w:pPr>
        <w:pStyle w:val="ListParagraph"/>
        <w:numPr>
          <w:ilvl w:val="0"/>
          <w:numId w:val="21"/>
        </w:numPr>
        <w:ind w:left="1134" w:hanging="425"/>
        <w:contextualSpacing/>
        <w:jc w:val="both"/>
        <w:rPr>
          <w:rFonts w:ascii="Arial" w:hAnsi="Arial" w:cs="Arial"/>
          <w:sz w:val="24"/>
          <w:szCs w:val="24"/>
        </w:rPr>
      </w:pPr>
      <w:r w:rsidRPr="00013D85">
        <w:rPr>
          <w:rFonts w:ascii="Arial" w:hAnsi="Arial" w:cs="Arial"/>
          <w:sz w:val="24"/>
          <w:szCs w:val="24"/>
        </w:rPr>
        <w:t>Appendix 2: Equal Pay Statement</w:t>
      </w:r>
    </w:p>
    <w:p w:rsidR="005F766A" w:rsidRDefault="005F766A" w:rsidP="005F766A">
      <w:pPr>
        <w:ind w:right="-62"/>
        <w:rPr>
          <w:rFonts w:cs="Arial"/>
          <w:color w:val="000000"/>
          <w:szCs w:val="24"/>
        </w:rPr>
      </w:pPr>
    </w:p>
    <w:p w:rsidR="005F766A" w:rsidRDefault="005F766A" w:rsidP="005F766A">
      <w:pPr>
        <w:ind w:right="-62"/>
        <w:rPr>
          <w:rFonts w:cs="Arial"/>
          <w:color w:val="000000"/>
          <w:szCs w:val="24"/>
        </w:rPr>
      </w:pPr>
    </w:p>
    <w:p w:rsidR="005F766A" w:rsidRDefault="005F766A" w:rsidP="005F766A">
      <w:pPr>
        <w:ind w:right="-62"/>
        <w:rPr>
          <w:rFonts w:cs="Arial"/>
          <w:color w:val="000000"/>
          <w:szCs w:val="24"/>
        </w:rPr>
      </w:pPr>
    </w:p>
    <w:p w:rsidR="005F766A" w:rsidRDefault="005F766A" w:rsidP="005F766A">
      <w:pPr>
        <w:ind w:right="-62"/>
        <w:rPr>
          <w:rFonts w:cs="Arial"/>
          <w:color w:val="000000"/>
          <w:szCs w:val="24"/>
        </w:rPr>
      </w:pPr>
    </w:p>
    <w:p w:rsidR="00A37CDD" w:rsidRDefault="00A37CDD" w:rsidP="005F766A">
      <w:pPr>
        <w:ind w:right="-62"/>
        <w:rPr>
          <w:b/>
          <w:szCs w:val="24"/>
        </w:rPr>
      </w:pPr>
    </w:p>
    <w:p w:rsidR="00832E5E" w:rsidRDefault="00832E5E" w:rsidP="005F766A">
      <w:pPr>
        <w:ind w:right="-62"/>
        <w:rPr>
          <w:b/>
          <w:szCs w:val="24"/>
        </w:rPr>
      </w:pPr>
      <w:r w:rsidRPr="008A45F6">
        <w:rPr>
          <w:b/>
          <w:szCs w:val="24"/>
        </w:rPr>
        <w:t>Report Contact</w:t>
      </w:r>
      <w:r w:rsidR="00C056C3">
        <w:rPr>
          <w:b/>
          <w:szCs w:val="24"/>
        </w:rPr>
        <w:t>:</w:t>
      </w:r>
    </w:p>
    <w:p w:rsidR="00C056C3" w:rsidRPr="008A45F6" w:rsidRDefault="00C056C3" w:rsidP="005F766A">
      <w:pPr>
        <w:ind w:right="-62"/>
        <w:rPr>
          <w:b/>
          <w:szCs w:val="24"/>
        </w:rPr>
      </w:pPr>
    </w:p>
    <w:p w:rsidR="00C056C3" w:rsidRPr="00486A8C" w:rsidRDefault="00C056C3" w:rsidP="00C056C3">
      <w:pPr>
        <w:ind w:right="-62"/>
        <w:jc w:val="both"/>
        <w:rPr>
          <w:szCs w:val="24"/>
        </w:rPr>
      </w:pPr>
      <w:r w:rsidRPr="00486A8C">
        <w:rPr>
          <w:szCs w:val="24"/>
        </w:rPr>
        <w:t>Brian McKenna</w:t>
      </w:r>
    </w:p>
    <w:p w:rsidR="00C056C3" w:rsidRPr="008A45F6" w:rsidRDefault="00C056C3" w:rsidP="00C056C3">
      <w:pPr>
        <w:ind w:right="-62"/>
        <w:jc w:val="both"/>
        <w:rPr>
          <w:szCs w:val="24"/>
        </w:rPr>
      </w:pPr>
      <w:r w:rsidRPr="00486A8C">
        <w:rPr>
          <w:szCs w:val="24"/>
        </w:rPr>
        <w:t xml:space="preserve">HR </w:t>
      </w:r>
      <w:r w:rsidRPr="00C37245">
        <w:rPr>
          <w:rStyle w:val="Heading3Char"/>
          <w:b w:val="0"/>
        </w:rPr>
        <w:t>Workforce Planning</w:t>
      </w:r>
      <w:r w:rsidR="004B0B0B">
        <w:rPr>
          <w:rStyle w:val="Heading3Char"/>
          <w:b w:val="0"/>
        </w:rPr>
        <w:t xml:space="preserve"> Lead</w:t>
      </w:r>
      <w:r w:rsidRPr="00C37245">
        <w:rPr>
          <w:rStyle w:val="Heading3Char"/>
          <w:b w:val="0"/>
        </w:rPr>
        <w:t xml:space="preserve"> </w:t>
      </w:r>
      <w:r w:rsidRPr="008A45F6">
        <w:rPr>
          <w:szCs w:val="24"/>
        </w:rPr>
        <w:t xml:space="preserve"> </w:t>
      </w:r>
    </w:p>
    <w:p w:rsidR="00C056C3" w:rsidRPr="00603FCA" w:rsidRDefault="00C056C3" w:rsidP="00C056C3">
      <w:pPr>
        <w:ind w:right="-62"/>
        <w:jc w:val="both"/>
        <w:rPr>
          <w:szCs w:val="24"/>
        </w:rPr>
      </w:pPr>
      <w:r w:rsidRPr="008A45F6">
        <w:rPr>
          <w:szCs w:val="24"/>
        </w:rPr>
        <w:t>Email</w:t>
      </w:r>
      <w:r>
        <w:rPr>
          <w:szCs w:val="24"/>
        </w:rPr>
        <w:t>:</w:t>
      </w:r>
      <w:r w:rsidRPr="008A45F6">
        <w:rPr>
          <w:szCs w:val="24"/>
        </w:rPr>
        <w:t xml:space="preserve"> </w:t>
      </w:r>
      <w:hyperlink r:id="rId9" w:history="1">
        <w:r w:rsidRPr="00E84BA0">
          <w:rPr>
            <w:rStyle w:val="Hyperlink"/>
            <w:szCs w:val="24"/>
          </w:rPr>
          <w:t>brian.mckenna@nhs.scot</w:t>
        </w:r>
      </w:hyperlink>
      <w:r>
        <w:rPr>
          <w:color w:val="0563C1"/>
          <w:szCs w:val="24"/>
          <w:u w:val="single" w:color="0563C1"/>
        </w:rPr>
        <w:t xml:space="preserve"> </w:t>
      </w:r>
    </w:p>
    <w:p w:rsidR="00A12F61" w:rsidRPr="00603FCA" w:rsidRDefault="00A12F61" w:rsidP="00CA18AE">
      <w:pPr>
        <w:ind w:right="-62"/>
        <w:jc w:val="both"/>
        <w:rPr>
          <w:szCs w:val="24"/>
        </w:rPr>
      </w:pPr>
    </w:p>
    <w:sectPr w:rsidR="00A12F61" w:rsidRPr="00603FCA" w:rsidSect="003F7F61">
      <w:headerReference w:type="default" r:id="rId10"/>
      <w:footerReference w:type="default" r:id="rId11"/>
      <w:pgSz w:w="11906" w:h="16838"/>
      <w:pgMar w:top="827" w:right="849" w:bottom="851" w:left="993" w:header="570" w:footer="6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FDB" w:rsidRDefault="00E11FDB">
      <w:r>
        <w:separator/>
      </w:r>
    </w:p>
  </w:endnote>
  <w:endnote w:type="continuationSeparator" w:id="0">
    <w:p w:rsidR="00E11FDB" w:rsidRDefault="00E11FD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728" w:rsidRDefault="00610728" w:rsidP="003F7F61">
    <w:pPr>
      <w:pStyle w:val="Footer"/>
      <w:jc w:val="center"/>
      <w:rPr>
        <w:rFonts w:cs="Arial"/>
        <w:sz w:val="16"/>
        <w:szCs w:val="16"/>
      </w:rPr>
    </w:pPr>
  </w:p>
  <w:p w:rsidR="00610728" w:rsidRPr="00C35168" w:rsidRDefault="00610728" w:rsidP="003F7F61">
    <w:pPr>
      <w:pStyle w:val="Footer"/>
      <w:jc w:val="center"/>
      <w:rPr>
        <w:rFonts w:cs="Arial"/>
        <w:sz w:val="16"/>
        <w:szCs w:val="16"/>
      </w:rPr>
    </w:pPr>
    <w:r w:rsidRPr="00C35168">
      <w:rPr>
        <w:rFonts w:cs="Arial"/>
        <w:sz w:val="16"/>
        <w:szCs w:val="16"/>
      </w:rPr>
      <w:t xml:space="preserve">Page </w:t>
    </w:r>
    <w:r w:rsidR="00CE0AA6" w:rsidRPr="00C35168">
      <w:rPr>
        <w:rFonts w:cs="Arial"/>
        <w:sz w:val="16"/>
        <w:szCs w:val="16"/>
      </w:rPr>
      <w:fldChar w:fldCharType="begin"/>
    </w:r>
    <w:r w:rsidRPr="00C35168">
      <w:rPr>
        <w:rFonts w:cs="Arial"/>
        <w:sz w:val="16"/>
        <w:szCs w:val="16"/>
      </w:rPr>
      <w:instrText xml:space="preserve"> PAGE </w:instrText>
    </w:r>
    <w:r w:rsidR="00CE0AA6" w:rsidRPr="00C35168">
      <w:rPr>
        <w:rFonts w:cs="Arial"/>
        <w:sz w:val="16"/>
        <w:szCs w:val="16"/>
      </w:rPr>
      <w:fldChar w:fldCharType="separate"/>
    </w:r>
    <w:r w:rsidR="00815424">
      <w:rPr>
        <w:rFonts w:cs="Arial"/>
        <w:noProof/>
        <w:sz w:val="16"/>
        <w:szCs w:val="16"/>
      </w:rPr>
      <w:t>1</w:t>
    </w:r>
    <w:r w:rsidR="00CE0AA6" w:rsidRPr="00C35168">
      <w:rPr>
        <w:rFonts w:cs="Arial"/>
        <w:sz w:val="16"/>
        <w:szCs w:val="16"/>
      </w:rPr>
      <w:fldChar w:fldCharType="end"/>
    </w:r>
    <w:r w:rsidRPr="00C35168">
      <w:rPr>
        <w:rFonts w:cs="Arial"/>
        <w:sz w:val="16"/>
        <w:szCs w:val="16"/>
      </w:rPr>
      <w:t xml:space="preserve"> of </w:t>
    </w:r>
    <w:r w:rsidR="00CE0AA6" w:rsidRPr="00C35168">
      <w:rPr>
        <w:rFonts w:cs="Arial"/>
        <w:sz w:val="16"/>
        <w:szCs w:val="16"/>
      </w:rPr>
      <w:fldChar w:fldCharType="begin"/>
    </w:r>
    <w:r w:rsidRPr="00C35168">
      <w:rPr>
        <w:rFonts w:cs="Arial"/>
        <w:sz w:val="16"/>
        <w:szCs w:val="16"/>
      </w:rPr>
      <w:instrText xml:space="preserve"> NUMPAGES </w:instrText>
    </w:r>
    <w:r w:rsidR="00CE0AA6" w:rsidRPr="00C35168">
      <w:rPr>
        <w:rFonts w:cs="Arial"/>
        <w:sz w:val="16"/>
        <w:szCs w:val="16"/>
      </w:rPr>
      <w:fldChar w:fldCharType="separate"/>
    </w:r>
    <w:r w:rsidR="00815424">
      <w:rPr>
        <w:rFonts w:cs="Arial"/>
        <w:noProof/>
        <w:sz w:val="16"/>
        <w:szCs w:val="16"/>
      </w:rPr>
      <w:t>5</w:t>
    </w:r>
    <w:r w:rsidR="00CE0AA6" w:rsidRPr="00C35168">
      <w:rPr>
        <w:rFonts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FDB" w:rsidRDefault="00E11FDB">
      <w:r>
        <w:separator/>
      </w:r>
    </w:p>
  </w:footnote>
  <w:footnote w:type="continuationSeparator" w:id="0">
    <w:p w:rsidR="00E11FDB" w:rsidRDefault="00E11F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728" w:rsidRPr="00CF64CF" w:rsidRDefault="00610728" w:rsidP="00AF356A">
    <w:pPr>
      <w:pStyle w:val="Header"/>
      <w:tabs>
        <w:tab w:val="clear" w:pos="9026"/>
        <w:tab w:val="right" w:pos="9781"/>
      </w:tabs>
      <w:spacing w:after="120"/>
      <w:ind w:right="-1"/>
      <w:jc w:val="right"/>
      <w:rPr>
        <w:rFonts w:cs="Arial"/>
        <w:b/>
        <w:bCs/>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9197F51"/>
    <w:multiLevelType w:val="hybridMultilevel"/>
    <w:tmpl w:val="8F5A0F34"/>
    <w:lvl w:ilvl="0" w:tplc="08090001">
      <w:start w:val="1"/>
      <w:numFmt w:val="bullet"/>
      <w:lvlText w:val=""/>
      <w:lvlJc w:val="left"/>
      <w:pPr>
        <w:ind w:left="612" w:hanging="360"/>
      </w:pPr>
      <w:rPr>
        <w:rFonts w:ascii="Symbol" w:hAnsi="Symbol"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3">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7">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B103F0C"/>
    <w:multiLevelType w:val="hybridMultilevel"/>
    <w:tmpl w:val="7192821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58707EC"/>
    <w:multiLevelType w:val="hybridMultilevel"/>
    <w:tmpl w:val="10222A6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5">
    <w:nsid w:val="542857E3"/>
    <w:multiLevelType w:val="hybridMultilevel"/>
    <w:tmpl w:val="E3CA47DE"/>
    <w:lvl w:ilvl="0" w:tplc="0809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86141F9"/>
    <w:multiLevelType w:val="hybridMultilevel"/>
    <w:tmpl w:val="8448481C"/>
    <w:lvl w:ilvl="0" w:tplc="B062524A">
      <w:start w:val="40"/>
      <w:numFmt w:val="bullet"/>
      <w:lvlText w:val="-"/>
      <w:lvlJc w:val="left"/>
      <w:pPr>
        <w:ind w:left="1440" w:hanging="360"/>
      </w:pPr>
      <w:rPr>
        <w:rFonts w:ascii="Arial" w:eastAsia="Times New Roman" w:hAnsi="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71022BB8"/>
    <w:multiLevelType w:val="hybridMultilevel"/>
    <w:tmpl w:val="E3CA47D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nsid w:val="786D36C8"/>
    <w:multiLevelType w:val="hybridMultilevel"/>
    <w:tmpl w:val="47D641B8"/>
    <w:lvl w:ilvl="0" w:tplc="08090011">
      <w:start w:val="1"/>
      <w:numFmt w:val="decimal"/>
      <w:lvlText w:val="%1)"/>
      <w:lvlJc w:val="left"/>
      <w:pPr>
        <w:ind w:left="1032" w:hanging="360"/>
      </w:pPr>
    </w:lvl>
    <w:lvl w:ilvl="1" w:tplc="FFFFFFFF" w:tentative="1">
      <w:start w:val="1"/>
      <w:numFmt w:val="lowerLetter"/>
      <w:lvlText w:val="%2."/>
      <w:lvlJc w:val="left"/>
      <w:pPr>
        <w:ind w:left="1752" w:hanging="360"/>
      </w:pPr>
    </w:lvl>
    <w:lvl w:ilvl="2" w:tplc="FFFFFFFF" w:tentative="1">
      <w:start w:val="1"/>
      <w:numFmt w:val="lowerRoman"/>
      <w:lvlText w:val="%3."/>
      <w:lvlJc w:val="right"/>
      <w:pPr>
        <w:ind w:left="2472" w:hanging="180"/>
      </w:pPr>
    </w:lvl>
    <w:lvl w:ilvl="3" w:tplc="FFFFFFFF" w:tentative="1">
      <w:start w:val="1"/>
      <w:numFmt w:val="decimal"/>
      <w:lvlText w:val="%4."/>
      <w:lvlJc w:val="left"/>
      <w:pPr>
        <w:ind w:left="3192" w:hanging="360"/>
      </w:pPr>
    </w:lvl>
    <w:lvl w:ilvl="4" w:tplc="FFFFFFFF" w:tentative="1">
      <w:start w:val="1"/>
      <w:numFmt w:val="lowerLetter"/>
      <w:lvlText w:val="%5."/>
      <w:lvlJc w:val="left"/>
      <w:pPr>
        <w:ind w:left="3912" w:hanging="360"/>
      </w:pPr>
    </w:lvl>
    <w:lvl w:ilvl="5" w:tplc="FFFFFFFF" w:tentative="1">
      <w:start w:val="1"/>
      <w:numFmt w:val="lowerRoman"/>
      <w:lvlText w:val="%6."/>
      <w:lvlJc w:val="right"/>
      <w:pPr>
        <w:ind w:left="4632" w:hanging="180"/>
      </w:pPr>
    </w:lvl>
    <w:lvl w:ilvl="6" w:tplc="FFFFFFFF" w:tentative="1">
      <w:start w:val="1"/>
      <w:numFmt w:val="decimal"/>
      <w:lvlText w:val="%7."/>
      <w:lvlJc w:val="left"/>
      <w:pPr>
        <w:ind w:left="5352" w:hanging="360"/>
      </w:pPr>
    </w:lvl>
    <w:lvl w:ilvl="7" w:tplc="FFFFFFFF" w:tentative="1">
      <w:start w:val="1"/>
      <w:numFmt w:val="lowerLetter"/>
      <w:lvlText w:val="%8."/>
      <w:lvlJc w:val="left"/>
      <w:pPr>
        <w:ind w:left="6072" w:hanging="360"/>
      </w:pPr>
    </w:lvl>
    <w:lvl w:ilvl="8" w:tplc="FFFFFFFF" w:tentative="1">
      <w:start w:val="1"/>
      <w:numFmt w:val="lowerRoman"/>
      <w:lvlText w:val="%9."/>
      <w:lvlJc w:val="right"/>
      <w:pPr>
        <w:ind w:left="6792" w:hanging="180"/>
      </w:pPr>
    </w:lvl>
  </w:abstractNum>
  <w:num w:numId="1">
    <w:abstractNumId w:val="19"/>
  </w:num>
  <w:num w:numId="2">
    <w:abstractNumId w:val="0"/>
  </w:num>
  <w:num w:numId="3">
    <w:abstractNumId w:val="12"/>
  </w:num>
  <w:num w:numId="4">
    <w:abstractNumId w:val="20"/>
  </w:num>
  <w:num w:numId="5">
    <w:abstractNumId w:val="9"/>
  </w:num>
  <w:num w:numId="6">
    <w:abstractNumId w:val="6"/>
  </w:num>
  <w:num w:numId="7">
    <w:abstractNumId w:val="13"/>
  </w:num>
  <w:num w:numId="8">
    <w:abstractNumId w:val="5"/>
  </w:num>
  <w:num w:numId="9">
    <w:abstractNumId w:val="16"/>
  </w:num>
  <w:num w:numId="10">
    <w:abstractNumId w:val="3"/>
  </w:num>
  <w:num w:numId="11">
    <w:abstractNumId w:val="18"/>
  </w:num>
  <w:num w:numId="12">
    <w:abstractNumId w:val="1"/>
  </w:num>
  <w:num w:numId="13">
    <w:abstractNumId w:val="4"/>
  </w:num>
  <w:num w:numId="14">
    <w:abstractNumId w:val="7"/>
  </w:num>
  <w:num w:numId="15">
    <w:abstractNumId w:val="10"/>
  </w:num>
  <w:num w:numId="16">
    <w:abstractNumId w:val="8"/>
  </w:num>
  <w:num w:numId="17">
    <w:abstractNumId w:val="14"/>
  </w:num>
  <w:num w:numId="18">
    <w:abstractNumId w:val="11"/>
  </w:num>
  <w:num w:numId="19">
    <w:abstractNumId w:val="17"/>
  </w:num>
  <w:num w:numId="20">
    <w:abstractNumId w:val="15"/>
  </w:num>
  <w:num w:numId="21">
    <w:abstractNumId w:val="2"/>
  </w:num>
  <w:num w:numId="22">
    <w:abstractNumId w:val="2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30C09"/>
    <w:rsid w:val="0003098A"/>
    <w:rsid w:val="00044EAA"/>
    <w:rsid w:val="00047714"/>
    <w:rsid w:val="00054F46"/>
    <w:rsid w:val="00060B6A"/>
    <w:rsid w:val="000620DA"/>
    <w:rsid w:val="0006462D"/>
    <w:rsid w:val="00091974"/>
    <w:rsid w:val="0009395F"/>
    <w:rsid w:val="000945DB"/>
    <w:rsid w:val="000C15C5"/>
    <w:rsid w:val="0010366F"/>
    <w:rsid w:val="001048A7"/>
    <w:rsid w:val="0013624B"/>
    <w:rsid w:val="00140DB3"/>
    <w:rsid w:val="00160EE6"/>
    <w:rsid w:val="001627D1"/>
    <w:rsid w:val="00171506"/>
    <w:rsid w:val="001C2017"/>
    <w:rsid w:val="001D50AA"/>
    <w:rsid w:val="001D5968"/>
    <w:rsid w:val="001E1D9F"/>
    <w:rsid w:val="001E5D45"/>
    <w:rsid w:val="001F4426"/>
    <w:rsid w:val="002330AA"/>
    <w:rsid w:val="0023473B"/>
    <w:rsid w:val="00251745"/>
    <w:rsid w:val="00252225"/>
    <w:rsid w:val="00266877"/>
    <w:rsid w:val="002A19BC"/>
    <w:rsid w:val="002C3ADC"/>
    <w:rsid w:val="002D52FA"/>
    <w:rsid w:val="002D653E"/>
    <w:rsid w:val="002F0B9A"/>
    <w:rsid w:val="002F2F37"/>
    <w:rsid w:val="00305E23"/>
    <w:rsid w:val="003307C5"/>
    <w:rsid w:val="0033790B"/>
    <w:rsid w:val="00384150"/>
    <w:rsid w:val="003D24B1"/>
    <w:rsid w:val="003F7F61"/>
    <w:rsid w:val="00414B53"/>
    <w:rsid w:val="00430C09"/>
    <w:rsid w:val="00443D44"/>
    <w:rsid w:val="00446219"/>
    <w:rsid w:val="00451835"/>
    <w:rsid w:val="00495A46"/>
    <w:rsid w:val="00495B36"/>
    <w:rsid w:val="004B0B0B"/>
    <w:rsid w:val="004C24DE"/>
    <w:rsid w:val="004D03B5"/>
    <w:rsid w:val="004D1353"/>
    <w:rsid w:val="004D2F71"/>
    <w:rsid w:val="004E2E59"/>
    <w:rsid w:val="004F7C43"/>
    <w:rsid w:val="00511A1F"/>
    <w:rsid w:val="00541786"/>
    <w:rsid w:val="00576BDE"/>
    <w:rsid w:val="00591C18"/>
    <w:rsid w:val="005C0301"/>
    <w:rsid w:val="005D0A0F"/>
    <w:rsid w:val="005D1BEC"/>
    <w:rsid w:val="005F0FAD"/>
    <w:rsid w:val="005F5EF2"/>
    <w:rsid w:val="005F766A"/>
    <w:rsid w:val="00603FCA"/>
    <w:rsid w:val="00610728"/>
    <w:rsid w:val="006118EA"/>
    <w:rsid w:val="006173A9"/>
    <w:rsid w:val="00635F5B"/>
    <w:rsid w:val="00643E25"/>
    <w:rsid w:val="00674D38"/>
    <w:rsid w:val="00681B7A"/>
    <w:rsid w:val="006D1343"/>
    <w:rsid w:val="006D2021"/>
    <w:rsid w:val="006E60C2"/>
    <w:rsid w:val="006F39AD"/>
    <w:rsid w:val="006F58B5"/>
    <w:rsid w:val="00704927"/>
    <w:rsid w:val="0071362F"/>
    <w:rsid w:val="007151AE"/>
    <w:rsid w:val="00775CE4"/>
    <w:rsid w:val="00777760"/>
    <w:rsid w:val="007A1765"/>
    <w:rsid w:val="007B433D"/>
    <w:rsid w:val="007B49A6"/>
    <w:rsid w:val="007F32CF"/>
    <w:rsid w:val="00815424"/>
    <w:rsid w:val="00816E22"/>
    <w:rsid w:val="00832E5E"/>
    <w:rsid w:val="00835EF5"/>
    <w:rsid w:val="00840018"/>
    <w:rsid w:val="00841378"/>
    <w:rsid w:val="008566ED"/>
    <w:rsid w:val="00861F3A"/>
    <w:rsid w:val="00883D22"/>
    <w:rsid w:val="00896A17"/>
    <w:rsid w:val="008D3624"/>
    <w:rsid w:val="008E611E"/>
    <w:rsid w:val="008E645D"/>
    <w:rsid w:val="00927C6C"/>
    <w:rsid w:val="00955325"/>
    <w:rsid w:val="009620AC"/>
    <w:rsid w:val="00965F12"/>
    <w:rsid w:val="00971F6B"/>
    <w:rsid w:val="0097304A"/>
    <w:rsid w:val="009765B8"/>
    <w:rsid w:val="009807B4"/>
    <w:rsid w:val="009C0FCC"/>
    <w:rsid w:val="009C6743"/>
    <w:rsid w:val="00A12F61"/>
    <w:rsid w:val="00A2445C"/>
    <w:rsid w:val="00A2596A"/>
    <w:rsid w:val="00A2680C"/>
    <w:rsid w:val="00A36618"/>
    <w:rsid w:val="00A37CDD"/>
    <w:rsid w:val="00A51E91"/>
    <w:rsid w:val="00A563B5"/>
    <w:rsid w:val="00A568BB"/>
    <w:rsid w:val="00A62B58"/>
    <w:rsid w:val="00A674BF"/>
    <w:rsid w:val="00A84C97"/>
    <w:rsid w:val="00AA03E4"/>
    <w:rsid w:val="00AA77F7"/>
    <w:rsid w:val="00AD64EC"/>
    <w:rsid w:val="00AE3931"/>
    <w:rsid w:val="00AE6830"/>
    <w:rsid w:val="00AE744E"/>
    <w:rsid w:val="00AF0530"/>
    <w:rsid w:val="00AF356A"/>
    <w:rsid w:val="00B1315B"/>
    <w:rsid w:val="00B178D4"/>
    <w:rsid w:val="00B353F4"/>
    <w:rsid w:val="00B53362"/>
    <w:rsid w:val="00B562FA"/>
    <w:rsid w:val="00B755FA"/>
    <w:rsid w:val="00B77902"/>
    <w:rsid w:val="00B851FC"/>
    <w:rsid w:val="00B95DE4"/>
    <w:rsid w:val="00BB4AC4"/>
    <w:rsid w:val="00BD316C"/>
    <w:rsid w:val="00BF3AF0"/>
    <w:rsid w:val="00C056C3"/>
    <w:rsid w:val="00C40022"/>
    <w:rsid w:val="00C42091"/>
    <w:rsid w:val="00C42289"/>
    <w:rsid w:val="00C56670"/>
    <w:rsid w:val="00C85709"/>
    <w:rsid w:val="00C87B62"/>
    <w:rsid w:val="00C915FF"/>
    <w:rsid w:val="00C91DFB"/>
    <w:rsid w:val="00C94BF7"/>
    <w:rsid w:val="00CA18AE"/>
    <w:rsid w:val="00CC0CAB"/>
    <w:rsid w:val="00CC7E73"/>
    <w:rsid w:val="00CD57F9"/>
    <w:rsid w:val="00CE0AA6"/>
    <w:rsid w:val="00CF64CF"/>
    <w:rsid w:val="00D71C6F"/>
    <w:rsid w:val="00D73BC4"/>
    <w:rsid w:val="00DC198E"/>
    <w:rsid w:val="00DD2D3D"/>
    <w:rsid w:val="00DF1BE0"/>
    <w:rsid w:val="00E11FDB"/>
    <w:rsid w:val="00E41A46"/>
    <w:rsid w:val="00E62787"/>
    <w:rsid w:val="00E71CD2"/>
    <w:rsid w:val="00E77209"/>
    <w:rsid w:val="00E82300"/>
    <w:rsid w:val="00EC27BA"/>
    <w:rsid w:val="00EC6630"/>
    <w:rsid w:val="00EE62E0"/>
    <w:rsid w:val="00EF384D"/>
    <w:rsid w:val="00F1291B"/>
    <w:rsid w:val="00F223EC"/>
    <w:rsid w:val="00F3337D"/>
    <w:rsid w:val="00F3794B"/>
    <w:rsid w:val="00F65BD5"/>
    <w:rsid w:val="00F7518D"/>
    <w:rsid w:val="00F92F27"/>
    <w:rsid w:val="00FA0166"/>
    <w:rsid w:val="00FB6CEB"/>
    <w:rsid w:val="00FC4E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aliases w:val="Dot pt,F5 List Paragraph,List Paragraph2,MAIN CONTENT,List Paragraph12,List Paragraph1,Colorful List - Accent 11,No Spacing1,List Paragraph Char Char Char,Indicator Text,Numbered Para 1,Bullet Points,Bullet 1,Normal numbered,OBC Bullet"/>
    <w:basedOn w:val="Normal"/>
    <w:link w:val="ListParagraphChar"/>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character" w:styleId="Hyperlink">
    <w:name w:val="Hyperlink"/>
    <w:basedOn w:val="DefaultParagraphFont"/>
    <w:uiPriority w:val="99"/>
    <w:unhideWhenUsed/>
    <w:rsid w:val="00576BDE"/>
    <w:rPr>
      <w:color w:val="0563C1" w:themeColor="hyperlink"/>
      <w:u w:val="single"/>
    </w:rPr>
  </w:style>
  <w:style w:type="character" w:customStyle="1" w:styleId="UnresolvedMention1">
    <w:name w:val="Unresolved Mention1"/>
    <w:basedOn w:val="DefaultParagraphFont"/>
    <w:uiPriority w:val="99"/>
    <w:semiHidden/>
    <w:unhideWhenUsed/>
    <w:rsid w:val="0009395F"/>
    <w:rPr>
      <w:color w:val="605E5C"/>
      <w:shd w:val="clear" w:color="auto" w:fill="E1DFDD"/>
    </w:rPr>
  </w:style>
  <w:style w:type="paragraph" w:styleId="FootnoteText">
    <w:name w:val="footnote text"/>
    <w:basedOn w:val="Normal"/>
    <w:link w:val="FootnoteTextChar"/>
    <w:uiPriority w:val="99"/>
    <w:semiHidden/>
    <w:unhideWhenUsed/>
    <w:rsid w:val="00CC7E73"/>
    <w:rPr>
      <w:sz w:val="20"/>
    </w:rPr>
  </w:style>
  <w:style w:type="character" w:customStyle="1" w:styleId="FootnoteTextChar">
    <w:name w:val="Footnote Text Char"/>
    <w:basedOn w:val="DefaultParagraphFont"/>
    <w:link w:val="FootnoteText"/>
    <w:uiPriority w:val="99"/>
    <w:semiHidden/>
    <w:rsid w:val="00CC7E73"/>
    <w:rPr>
      <w:rFonts w:eastAsia="Times New Roman" w:cs="Times New Roman"/>
      <w:spacing w:val="-3"/>
      <w:sz w:val="20"/>
      <w:szCs w:val="20"/>
    </w:rPr>
  </w:style>
  <w:style w:type="character" w:styleId="FootnoteReference">
    <w:name w:val="footnote reference"/>
    <w:basedOn w:val="DefaultParagraphFont"/>
    <w:uiPriority w:val="99"/>
    <w:semiHidden/>
    <w:unhideWhenUsed/>
    <w:rsid w:val="00CC7E73"/>
    <w:rPr>
      <w:vertAlign w:val="superscript"/>
    </w:rPr>
  </w:style>
  <w:style w:type="character" w:customStyle="1" w:styleId="UnresolvedMention2">
    <w:name w:val="Unresolved Mention2"/>
    <w:basedOn w:val="DefaultParagraphFont"/>
    <w:uiPriority w:val="99"/>
    <w:semiHidden/>
    <w:unhideWhenUsed/>
    <w:rsid w:val="0010366F"/>
    <w:rPr>
      <w:color w:val="605E5C"/>
      <w:shd w:val="clear" w:color="auto" w:fill="E1DFDD"/>
    </w:rPr>
  </w:style>
  <w:style w:type="paragraph" w:styleId="Revision">
    <w:name w:val="Revision"/>
    <w:hidden/>
    <w:uiPriority w:val="99"/>
    <w:semiHidden/>
    <w:rsid w:val="00EC6630"/>
    <w:pPr>
      <w:spacing w:after="0" w:line="240" w:lineRule="auto"/>
    </w:pPr>
    <w:rPr>
      <w:rFonts w:eastAsia="Times New Roman" w:cs="Times New Roman"/>
      <w:spacing w:val="-3"/>
      <w:szCs w:val="20"/>
    </w:rPr>
  </w:style>
  <w:style w:type="table" w:styleId="TableGrid">
    <w:name w:val="Table Grid"/>
    <w:basedOn w:val="TableNormal"/>
    <w:rsid w:val="009730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674D38"/>
    <w:rPr>
      <w:color w:val="605E5C"/>
      <w:shd w:val="clear" w:color="auto" w:fill="E1DFDD"/>
    </w:rPr>
  </w:style>
  <w:style w:type="character" w:customStyle="1" w:styleId="ListParagraphChar">
    <w:name w:val="List Paragraph Char"/>
    <w:aliases w:val="Dot pt Char,F5 List Paragraph Char,List Paragraph2 Char,MAIN CONTENT Char,List Paragraph12 Char,List Paragraph1 Char,Colorful List - Accent 11 Char,No Spacing1 Char,List Paragraph Char Char Char Char,Indicator Text Char,Bullet 1 Char"/>
    <w:basedOn w:val="DefaultParagraphFont"/>
    <w:link w:val="ListParagraph"/>
    <w:uiPriority w:val="34"/>
    <w:qFormat/>
    <w:locked/>
    <w:rsid w:val="00C056C3"/>
    <w:rPr>
      <w:rFonts w:ascii="Calibri" w:eastAsia="Calibri" w:hAnsi="Calibri" w:cs="Times New Roman"/>
      <w:sz w:val="22"/>
      <w:szCs w:val="22"/>
      <w:lang w:eastAsia="en-GB"/>
    </w:rPr>
  </w:style>
</w:styles>
</file>

<file path=word/webSettings.xml><?xml version="1.0" encoding="utf-8"?>
<w:webSettings xmlns:r="http://schemas.openxmlformats.org/officeDocument/2006/relationships" xmlns:w="http://schemas.openxmlformats.org/wordprocessingml/2006/main">
  <w:divs>
    <w:div w:id="885216595">
      <w:bodyDiv w:val="1"/>
      <w:marLeft w:val="0"/>
      <w:marRight w:val="0"/>
      <w:marTop w:val="0"/>
      <w:marBottom w:val="0"/>
      <w:divBdr>
        <w:top w:val="none" w:sz="0" w:space="0" w:color="auto"/>
        <w:left w:val="none" w:sz="0" w:space="0" w:color="auto"/>
        <w:bottom w:val="none" w:sz="0" w:space="0" w:color="auto"/>
        <w:right w:val="none" w:sz="0" w:space="0" w:color="auto"/>
      </w:divBdr>
    </w:div>
    <w:div w:id="208379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ian.mckenna@nh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37B53-DB9A-4283-A2F4-B4805F00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1249</Words>
  <Characters>7122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Penman (NHS FIFE)</dc:creator>
  <cp:lastModifiedBy>mckennab</cp:lastModifiedBy>
  <cp:revision>2</cp:revision>
  <cp:lastPrinted>2019-10-07T12:25:00Z</cp:lastPrinted>
  <dcterms:created xsi:type="dcterms:W3CDTF">2025-04-07T12:34:00Z</dcterms:created>
  <dcterms:modified xsi:type="dcterms:W3CDTF">2025-04-07T12:34:00Z</dcterms:modified>
</cp:coreProperties>
</file>